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E482A" w14:textId="6D72CAE1" w:rsidR="0001160D" w:rsidRDefault="0001160D">
      <w:r w:rsidRPr="00B309E9">
        <w:rPr>
          <w:rFonts w:ascii="Calibri Light" w:hAnsi="Calibri Light" w:cs="Calibri Light"/>
          <w:noProof/>
        </w:rPr>
        <mc:AlternateContent>
          <mc:Choice Requires="wps">
            <w:drawing>
              <wp:anchor distT="45720" distB="45720" distL="114300" distR="114300" simplePos="0" relativeHeight="251659264" behindDoc="0" locked="0" layoutInCell="1" allowOverlap="1" wp14:anchorId="3BB2F1F1" wp14:editId="51E3BCE0">
                <wp:simplePos x="0" y="0"/>
                <wp:positionH relativeFrom="column">
                  <wp:posOffset>-76200</wp:posOffset>
                </wp:positionH>
                <wp:positionV relativeFrom="paragraph">
                  <wp:posOffset>0</wp:posOffset>
                </wp:positionV>
                <wp:extent cx="6057900" cy="4048125"/>
                <wp:effectExtent l="0" t="0" r="19050" b="28575"/>
                <wp:wrapSquare wrapText="bothSides"/>
                <wp:docPr id="59052594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048125"/>
                        </a:xfrm>
                        <a:prstGeom prst="rect">
                          <a:avLst/>
                        </a:prstGeom>
                        <a:solidFill>
                          <a:srgbClr val="FFFFFF"/>
                        </a:solidFill>
                        <a:ln w="9525">
                          <a:solidFill>
                            <a:srgbClr val="000000"/>
                          </a:solidFill>
                          <a:miter lim="800000"/>
                          <a:headEnd/>
                          <a:tailEnd/>
                        </a:ln>
                      </wps:spPr>
                      <wps:txbx>
                        <w:txbxContent>
                          <w:p w14:paraId="0F0D9194" w14:textId="77777777" w:rsidR="0001160D" w:rsidRPr="00702C8F" w:rsidRDefault="0001160D" w:rsidP="0001160D">
                            <w:pPr>
                              <w:rPr>
                                <w:rFonts w:ascii="Calibri Light" w:hAnsi="Calibri Light" w:cs="Calibri Light"/>
                                <w:b/>
                                <w:bCs/>
                                <w:color w:val="FF0000"/>
                              </w:rPr>
                            </w:pPr>
                            <w:r w:rsidRPr="00702C8F">
                              <w:rPr>
                                <w:rFonts w:ascii="Calibri Light" w:hAnsi="Calibri Light" w:cs="Calibri Light"/>
                                <w:b/>
                                <w:bCs/>
                                <w:color w:val="FF0000"/>
                              </w:rPr>
                              <w:t>Please read before using this template:</w:t>
                            </w:r>
                          </w:p>
                          <w:p w14:paraId="16969A88" w14:textId="77777777" w:rsidR="0001160D" w:rsidRDefault="0001160D" w:rsidP="0001160D">
                            <w:pPr>
                              <w:pStyle w:val="ListParagraph"/>
                              <w:spacing w:after="160" w:line="259" w:lineRule="auto"/>
                              <w:ind w:left="1440"/>
                              <w:rPr>
                                <w:rFonts w:ascii="Calibri Light" w:hAnsi="Calibri Light" w:cs="Calibri Light"/>
                              </w:rPr>
                            </w:pPr>
                          </w:p>
                          <w:p w14:paraId="2AB31CFD" w14:textId="77777777" w:rsidR="0001160D" w:rsidRPr="00DA1D2C" w:rsidRDefault="0001160D" w:rsidP="0001160D">
                            <w:pPr>
                              <w:pStyle w:val="ListParagraph"/>
                              <w:numPr>
                                <w:ilvl w:val="0"/>
                                <w:numId w:val="9"/>
                              </w:numPr>
                              <w:spacing w:after="160" w:line="259" w:lineRule="auto"/>
                              <w:ind w:left="426"/>
                              <w:rPr>
                                <w:rFonts w:ascii="Calibri Light" w:hAnsi="Calibri Light" w:cs="Calibri Light"/>
                                <w:i/>
                                <w:iCs/>
                              </w:rPr>
                            </w:pPr>
                            <w:r w:rsidRPr="00DA1D2C">
                              <w:rPr>
                                <w:rFonts w:ascii="Calibri Light" w:hAnsi="Calibri Light" w:cs="Calibri Light"/>
                                <w:i/>
                                <w:iCs/>
                              </w:rPr>
                              <w:t>To complete this template</w:t>
                            </w:r>
                            <w:r>
                              <w:rPr>
                                <w:rFonts w:ascii="Calibri Light" w:hAnsi="Calibri Light" w:cs="Calibri Light"/>
                                <w:i/>
                                <w:iCs/>
                              </w:rPr>
                              <w:t>:</w:t>
                            </w:r>
                          </w:p>
                          <w:p w14:paraId="346BD7A0" w14:textId="62512BA7" w:rsidR="0001160D" w:rsidRDefault="0001160D" w:rsidP="0001160D">
                            <w:pPr>
                              <w:pStyle w:val="ListParagraph"/>
                              <w:numPr>
                                <w:ilvl w:val="1"/>
                                <w:numId w:val="9"/>
                              </w:numPr>
                              <w:spacing w:after="160" w:line="259" w:lineRule="auto"/>
                              <w:ind w:left="709"/>
                              <w:jc w:val="both"/>
                              <w:rPr>
                                <w:rFonts w:ascii="Calibri Light" w:hAnsi="Calibri Light" w:cs="Calibri Light"/>
                              </w:rPr>
                            </w:pPr>
                            <w:r w:rsidRPr="00EE6249">
                              <w:rPr>
                                <w:rFonts w:ascii="Calibri Light" w:hAnsi="Calibri Light" w:cs="Calibri Light"/>
                              </w:rPr>
                              <w:t xml:space="preserve">replace any </w:t>
                            </w:r>
                            <w:r>
                              <w:rPr>
                                <w:rFonts w:ascii="Calibri Light" w:hAnsi="Calibri Light" w:cs="Calibri Light"/>
                              </w:rPr>
                              <w:t xml:space="preserve">RED </w:t>
                            </w:r>
                            <w:r w:rsidRPr="00E31755">
                              <w:rPr>
                                <w:rFonts w:ascii="Calibri Light" w:hAnsi="Calibri Light" w:cs="Calibri Light"/>
                              </w:rPr>
                              <w:t xml:space="preserve">text in </w:t>
                            </w:r>
                            <w:r>
                              <w:rPr>
                                <w:rFonts w:ascii="Calibri Light" w:hAnsi="Calibri Light" w:cs="Calibri Light"/>
                              </w:rPr>
                              <w:t>[</w:t>
                            </w:r>
                            <w:r w:rsidRPr="0001160D">
                              <w:rPr>
                                <w:rFonts w:ascii="Calibri Light" w:hAnsi="Calibri Light" w:cs="Calibri Light"/>
                                <w:color w:val="EE0000"/>
                              </w:rPr>
                              <w:t>square brackets</w:t>
                            </w:r>
                            <w:r w:rsidR="003350F2" w:rsidRPr="00C67F01">
                              <w:rPr>
                                <w:rFonts w:ascii="Calibri Light" w:hAnsi="Calibri Light" w:cs="Calibri Light"/>
                              </w:rPr>
                              <w:t>]</w:t>
                            </w:r>
                            <w:r>
                              <w:rPr>
                                <w:rFonts w:ascii="Calibri Light" w:hAnsi="Calibri Light" w:cs="Calibri Light"/>
                              </w:rPr>
                              <w:t>,</w:t>
                            </w:r>
                            <w:r w:rsidRPr="00E31755">
                              <w:rPr>
                                <w:rFonts w:ascii="Calibri Light" w:hAnsi="Calibri Light" w:cs="Calibri Light"/>
                              </w:rPr>
                              <w:t xml:space="preserve"> </w:t>
                            </w:r>
                            <w:r w:rsidRPr="00EE6249">
                              <w:rPr>
                                <w:rFonts w:ascii="Calibri Light" w:hAnsi="Calibri Light" w:cs="Calibri Light"/>
                              </w:rPr>
                              <w:t>then return th</w:t>
                            </w:r>
                            <w:r>
                              <w:rPr>
                                <w:rFonts w:ascii="Calibri Light" w:hAnsi="Calibri Light" w:cs="Calibri Light"/>
                              </w:rPr>
                              <w:t>e</w:t>
                            </w:r>
                            <w:r w:rsidRPr="00EE6249">
                              <w:rPr>
                                <w:rFonts w:ascii="Calibri Light" w:hAnsi="Calibri Light" w:cs="Calibri Light"/>
                              </w:rPr>
                              <w:t xml:space="preserve"> text to </w:t>
                            </w:r>
                            <w:r>
                              <w:rPr>
                                <w:rFonts w:ascii="Calibri Light" w:hAnsi="Calibri Light" w:cs="Calibri Light"/>
                              </w:rPr>
                              <w:t>black, without brackets</w:t>
                            </w:r>
                            <w:r w:rsidRPr="00EE6249">
                              <w:rPr>
                                <w:rFonts w:ascii="Calibri Light" w:hAnsi="Calibri Light" w:cs="Calibri Light"/>
                              </w:rPr>
                              <w:t xml:space="preserve">.  </w:t>
                            </w:r>
                            <w:r>
                              <w:rPr>
                                <w:rFonts w:ascii="Calibri Light" w:hAnsi="Calibri Light" w:cs="Calibri Light"/>
                              </w:rPr>
                              <w:t>Look out for all instances of [</w:t>
                            </w:r>
                            <w:r w:rsidRPr="0001160D">
                              <w:rPr>
                                <w:rFonts w:ascii="Calibri Light" w:hAnsi="Calibri Light" w:cs="Calibri Light"/>
                                <w:color w:val="EE0000"/>
                              </w:rPr>
                              <w:t>s/he</w:t>
                            </w:r>
                            <w:r>
                              <w:rPr>
                                <w:rFonts w:ascii="Calibri Light" w:hAnsi="Calibri Light" w:cs="Calibri Light"/>
                              </w:rPr>
                              <w:t>] [</w:t>
                            </w:r>
                            <w:r w:rsidRPr="0001160D">
                              <w:rPr>
                                <w:rFonts w:ascii="Calibri Light" w:hAnsi="Calibri Light" w:cs="Calibri Light"/>
                                <w:color w:val="EE0000"/>
                              </w:rPr>
                              <w:t>her/his</w:t>
                            </w:r>
                            <w:r>
                              <w:rPr>
                                <w:rFonts w:ascii="Calibri Light" w:hAnsi="Calibri Light" w:cs="Calibri Light"/>
                              </w:rPr>
                              <w:t>] [</w:t>
                            </w:r>
                            <w:r w:rsidRPr="0001160D">
                              <w:rPr>
                                <w:rFonts w:ascii="Calibri Light" w:hAnsi="Calibri Light" w:cs="Calibri Light"/>
                                <w:color w:val="EE0000"/>
                              </w:rPr>
                              <w:t>her/him</w:t>
                            </w:r>
                            <w:r>
                              <w:rPr>
                                <w:rFonts w:ascii="Calibri Light" w:hAnsi="Calibri Light" w:cs="Calibri Light"/>
                              </w:rPr>
                              <w:t xml:space="preserve">]. Consider the claimant’s name or ‘The Appellant’ as an alternative. </w:t>
                            </w:r>
                          </w:p>
                          <w:p w14:paraId="283BD411" w14:textId="77777777" w:rsidR="0001160D" w:rsidRDefault="0001160D" w:rsidP="0001160D">
                            <w:pPr>
                              <w:pStyle w:val="ListParagraph"/>
                              <w:numPr>
                                <w:ilvl w:val="1"/>
                                <w:numId w:val="9"/>
                              </w:numPr>
                              <w:spacing w:after="160" w:line="259" w:lineRule="auto"/>
                              <w:ind w:left="709"/>
                              <w:jc w:val="both"/>
                              <w:rPr>
                                <w:rFonts w:ascii="Calibri Light" w:hAnsi="Calibri Light" w:cs="Calibri Light"/>
                              </w:rPr>
                            </w:pPr>
                            <w:r w:rsidRPr="0034188C">
                              <w:rPr>
                                <w:rFonts w:ascii="Calibri Light" w:hAnsi="Calibri Light" w:cs="Calibri Light"/>
                              </w:rPr>
                              <w:t xml:space="preserve">Consider, address and then delete all prompts/comments and the square brackets surrounding them before sending. If you have deleted paragraphs that do not apply in your case, check numbering is still sequential. </w:t>
                            </w:r>
                          </w:p>
                          <w:p w14:paraId="1A4359D5" w14:textId="77777777" w:rsidR="0001160D" w:rsidRDefault="0001160D" w:rsidP="0001160D">
                            <w:pPr>
                              <w:pStyle w:val="ListParagraph"/>
                              <w:spacing w:after="160" w:line="259" w:lineRule="auto"/>
                              <w:ind w:left="709"/>
                              <w:jc w:val="both"/>
                              <w:rPr>
                                <w:rFonts w:ascii="Calibri Light" w:hAnsi="Calibri Light" w:cs="Calibri Light"/>
                              </w:rPr>
                            </w:pPr>
                          </w:p>
                          <w:p w14:paraId="24DA0910" w14:textId="77777777" w:rsidR="0001160D" w:rsidRPr="00DA1D2C" w:rsidRDefault="0001160D" w:rsidP="0001160D">
                            <w:pPr>
                              <w:pStyle w:val="ListParagraph"/>
                              <w:numPr>
                                <w:ilvl w:val="0"/>
                                <w:numId w:val="9"/>
                              </w:numPr>
                              <w:spacing w:after="160" w:line="259" w:lineRule="auto"/>
                              <w:ind w:left="284"/>
                              <w:jc w:val="both"/>
                              <w:rPr>
                                <w:rFonts w:ascii="Calibri Light" w:hAnsi="Calibri Light" w:cs="Calibri Light"/>
                                <w:i/>
                                <w:iCs/>
                              </w:rPr>
                            </w:pPr>
                            <w:r w:rsidRPr="00DA1D2C">
                              <w:rPr>
                                <w:rFonts w:ascii="Calibri Light" w:hAnsi="Calibri Light" w:cs="Calibri Light"/>
                                <w:i/>
                                <w:iCs/>
                              </w:rPr>
                              <w:t>After the appeal decision</w:t>
                            </w:r>
                            <w:r>
                              <w:rPr>
                                <w:rFonts w:ascii="Calibri Light" w:hAnsi="Calibri Light" w:cs="Calibri Light"/>
                                <w:i/>
                                <w:iCs/>
                              </w:rPr>
                              <w:t>, WARNING</w:t>
                            </w:r>
                            <w:r w:rsidRPr="00DA1D2C">
                              <w:rPr>
                                <w:rFonts w:ascii="Calibri Light" w:hAnsi="Calibri Light" w:cs="Calibri Light"/>
                                <w:i/>
                                <w:iCs/>
                              </w:rPr>
                              <w:t>:</w:t>
                            </w:r>
                          </w:p>
                          <w:p w14:paraId="5B9A65A1" w14:textId="77777777" w:rsidR="0001160D" w:rsidRPr="009F0346" w:rsidRDefault="0001160D" w:rsidP="0001160D">
                            <w:pPr>
                              <w:pStyle w:val="ListParagraph"/>
                              <w:numPr>
                                <w:ilvl w:val="1"/>
                                <w:numId w:val="9"/>
                              </w:numPr>
                              <w:ind w:left="567"/>
                              <w:contextualSpacing w:val="0"/>
                              <w:jc w:val="both"/>
                              <w:rPr>
                                <w:rFonts w:ascii="Calibri Light" w:hAnsi="Calibri Light" w:cs="Calibri Light"/>
                                <w:sz w:val="22"/>
                                <w:szCs w:val="22"/>
                              </w:rPr>
                            </w:pPr>
                            <w:r w:rsidRPr="009F0346">
                              <w:rPr>
                                <w:rFonts w:ascii="Calibri Light" w:hAnsi="Calibri Light" w:cs="Calibri Light"/>
                              </w:rPr>
                              <w:t>If the appeal is allowed</w:t>
                            </w:r>
                            <w:r>
                              <w:rPr>
                                <w:rFonts w:ascii="Calibri Light" w:hAnsi="Calibri Light" w:cs="Calibri Light"/>
                              </w:rPr>
                              <w:t>,</w:t>
                            </w:r>
                            <w:r w:rsidRPr="009F0346">
                              <w:rPr>
                                <w:rFonts w:ascii="Calibri Light" w:hAnsi="Calibri Light" w:cs="Calibri Light"/>
                              </w:rPr>
                              <w:t xml:space="preserve"> DWP </w:t>
                            </w:r>
                            <w:r w:rsidRPr="009F13CF">
                              <w:rPr>
                                <w:rFonts w:ascii="Calibri Light" w:hAnsi="Calibri Light" w:cs="Calibri Light"/>
                                <w:i/>
                                <w:iCs/>
                              </w:rPr>
                              <w:t>may</w:t>
                            </w:r>
                            <w:r w:rsidRPr="009F0346">
                              <w:rPr>
                                <w:rFonts w:ascii="Calibri Light" w:hAnsi="Calibri Light" w:cs="Calibri Light"/>
                              </w:rPr>
                              <w:t xml:space="preserve"> not accept it and may seek to appeal to the Upper Tribunal</w:t>
                            </w:r>
                            <w:r>
                              <w:rPr>
                                <w:rFonts w:ascii="Calibri Light" w:hAnsi="Calibri Light" w:cs="Calibri Light"/>
                              </w:rPr>
                              <w:t xml:space="preserve"> (and suspend payment under the First-tier Tribunal decision </w:t>
                            </w:r>
                            <w:r w:rsidRPr="009F0346">
                              <w:rPr>
                                <w:rFonts w:ascii="Calibri Light" w:hAnsi="Calibri Light" w:cs="Calibri Light"/>
                              </w:rPr>
                              <w:t>whilst they do so</w:t>
                            </w:r>
                            <w:r>
                              <w:rPr>
                                <w:rFonts w:ascii="Calibri Light" w:hAnsi="Calibri Light" w:cs="Calibri Light"/>
                              </w:rPr>
                              <w:t>)</w:t>
                            </w:r>
                            <w:r w:rsidRPr="009F0346">
                              <w:rPr>
                                <w:rFonts w:ascii="Calibri Light" w:hAnsi="Calibri Light" w:cs="Calibri Light"/>
                              </w:rPr>
                              <w:t>.</w:t>
                            </w:r>
                          </w:p>
                          <w:p w14:paraId="4D39C1E1" w14:textId="77777777" w:rsidR="0001160D" w:rsidRPr="00AB0317" w:rsidRDefault="0001160D" w:rsidP="0001160D">
                            <w:pPr>
                              <w:pStyle w:val="ListParagraph"/>
                              <w:numPr>
                                <w:ilvl w:val="1"/>
                                <w:numId w:val="9"/>
                              </w:numPr>
                              <w:ind w:left="567"/>
                              <w:contextualSpacing w:val="0"/>
                              <w:jc w:val="both"/>
                              <w:rPr>
                                <w:rFonts w:ascii="Calibri Light" w:hAnsi="Calibri Light" w:cs="Calibri Light"/>
                                <w:sz w:val="22"/>
                                <w:szCs w:val="22"/>
                              </w:rPr>
                            </w:pPr>
                            <w:r w:rsidRPr="009F0346">
                              <w:rPr>
                                <w:rFonts w:ascii="Calibri Light" w:hAnsi="Calibri Light" w:cs="Calibri Light"/>
                              </w:rPr>
                              <w:t>If the appeal is dismissed</w:t>
                            </w:r>
                            <w:r>
                              <w:rPr>
                                <w:rFonts w:ascii="Calibri Light" w:hAnsi="Calibri Light" w:cs="Calibri Light"/>
                              </w:rPr>
                              <w:t>,</w:t>
                            </w:r>
                            <w:r w:rsidRPr="009F0346">
                              <w:rPr>
                                <w:rFonts w:ascii="Calibri Light" w:hAnsi="Calibri Light" w:cs="Calibri Light"/>
                              </w:rPr>
                              <w:t xml:space="preserve"> then the claimant may wish to seek permission to appeal to the Upper Tribunal and then to appeal to that Tribunal on the grounds the First-tier Tribunal was wrong not to accept the argument.</w:t>
                            </w:r>
                          </w:p>
                          <w:p w14:paraId="3BCFC043" w14:textId="77777777" w:rsidR="0001160D" w:rsidRPr="00AB0317" w:rsidRDefault="0001160D" w:rsidP="0001160D">
                            <w:pPr>
                              <w:pStyle w:val="ListParagraph"/>
                              <w:numPr>
                                <w:ilvl w:val="1"/>
                                <w:numId w:val="9"/>
                              </w:numPr>
                              <w:ind w:left="567"/>
                              <w:contextualSpacing w:val="0"/>
                              <w:jc w:val="both"/>
                              <w:rPr>
                                <w:rFonts w:ascii="Calibri Light" w:hAnsi="Calibri Light" w:cs="Calibri Light"/>
                                <w:sz w:val="22"/>
                                <w:szCs w:val="22"/>
                              </w:rPr>
                            </w:pPr>
                            <w:r w:rsidRPr="00AB0317">
                              <w:rPr>
                                <w:rFonts w:ascii="Calibri Light" w:hAnsi="Calibri Light" w:cs="Calibri Light"/>
                              </w:rPr>
                              <w:t>In either case, advisers can contact CPAG for further support with the appeal by getting in touch with the</w:t>
                            </w:r>
                            <w:r>
                              <w:rPr>
                                <w:rFonts w:ascii="Calibri Light" w:hAnsi="Calibri Light" w:cs="Calibri Light"/>
                              </w:rPr>
                              <w:t xml:space="preserve"> </w:t>
                            </w:r>
                            <w:hyperlink r:id="rId12" w:history="1">
                              <w:r>
                                <w:rPr>
                                  <w:rStyle w:val="Hyperlink"/>
                                  <w:rFonts w:ascii="Calibri Light" w:hAnsi="Calibri Light" w:cs="Calibri Light"/>
                                </w:rPr>
                                <w:t>U</w:t>
                              </w:r>
                              <w:r w:rsidRPr="0050525D">
                                <w:rPr>
                                  <w:rStyle w:val="Hyperlink"/>
                                  <w:rFonts w:ascii="Calibri Light" w:hAnsi="Calibri Light" w:cs="Calibri Light"/>
                                </w:rPr>
                                <w:t>pper Tribunal Project</w:t>
                              </w:r>
                            </w:hyperlink>
                            <w:r w:rsidRPr="00AB0317">
                              <w:rPr>
                                <w:rFonts w:ascii="Calibri Light" w:hAnsi="Calibri Light" w:cs="Calibri Light"/>
                              </w:rPr>
                              <w:t xml:space="preserve">, or via the </w:t>
                            </w:r>
                            <w:hyperlink r:id="rId13" w:anchor=":~:text=CPAG%20intervenes%20in%20existing%20cases,our%20test%20case%20referral%20form%20." w:history="1">
                              <w:r w:rsidRPr="00482A59">
                                <w:rPr>
                                  <w:rStyle w:val="Hyperlink"/>
                                  <w:rFonts w:ascii="Calibri Light" w:hAnsi="Calibri Light" w:cs="Calibri Light"/>
                                </w:rPr>
                                <w:t>testcases referral mechanism</w:t>
                              </w:r>
                            </w:hyperlink>
                            <w:r w:rsidRPr="00AB0317">
                              <w:rPr>
                                <w:rFonts w:ascii="Calibri Light" w:hAnsi="Calibri Light" w:cs="Calibri Light"/>
                              </w:rPr>
                              <w:t>.</w:t>
                            </w:r>
                          </w:p>
                          <w:p w14:paraId="2C0F96EB" w14:textId="77777777" w:rsidR="0001160D" w:rsidRDefault="0001160D" w:rsidP="0001160D"/>
                          <w:p w14:paraId="6D1D8145" w14:textId="77777777" w:rsidR="0001160D" w:rsidRPr="000C4D31" w:rsidRDefault="0001160D" w:rsidP="0001160D">
                            <w:pPr>
                              <w:rPr>
                                <w:rFonts w:ascii="Calibri Light" w:hAnsi="Calibri Light" w:cs="Calibri Light"/>
                                <w:b/>
                                <w:bCs/>
                                <w:color w:val="EE0000"/>
                              </w:rPr>
                            </w:pPr>
                            <w:r w:rsidRPr="000C4D31">
                              <w:rPr>
                                <w:rFonts w:ascii="Calibri Light" w:hAnsi="Calibri Light" w:cs="Calibri Light"/>
                                <w:b/>
                                <w:bCs/>
                                <w:color w:val="EE0000"/>
                              </w:rPr>
                              <w:t xml:space="preserve">Delete box before posting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B2F1F1" id="_x0000_t202" coordsize="21600,21600" o:spt="202" path="m,l,21600r21600,l21600,xe">
                <v:stroke joinstyle="miter"/>
                <v:path gradientshapeok="t" o:connecttype="rect"/>
              </v:shapetype>
              <v:shape id="Text Box 1" o:spid="_x0000_s1026" type="#_x0000_t202" style="position:absolute;margin-left:-6pt;margin-top:0;width:477pt;height:3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">
                <v:textbox>
                  <w:txbxContent>
                    <w:p w14:paraId="0F0D9194" w14:textId="77777777" w:rsidR="0001160D" w:rsidRPr="00702C8F" w:rsidRDefault="0001160D" w:rsidP="0001160D">
                      <w:pPr>
                        <w:rPr>
                          <w:rFonts w:ascii="Calibri Light" w:hAnsi="Calibri Light" w:cs="Calibri Light"/>
                          <w:b/>
                          <w:bCs/>
                          <w:color w:val="FF0000"/>
                        </w:rPr>
                      </w:pPr>
                      <w:r w:rsidRPr="00702C8F">
                        <w:rPr>
                          <w:rFonts w:ascii="Calibri Light" w:hAnsi="Calibri Light" w:cs="Calibri Light"/>
                          <w:b/>
                          <w:bCs/>
                          <w:color w:val="FF0000"/>
                        </w:rPr>
                        <w:t>Please read before using this template:</w:t>
                      </w:r>
                    </w:p>
                    <w:p w14:paraId="16969A88" w14:textId="77777777" w:rsidR="0001160D" w:rsidRDefault="0001160D" w:rsidP="0001160D">
                      <w:pPr>
                        <w:pStyle w:val="ListParagraph"/>
                        <w:spacing w:after="160" w:line="259" w:lineRule="auto"/>
                        <w:ind w:left="1440"/>
                        <w:rPr>
                          <w:rFonts w:ascii="Calibri Light" w:hAnsi="Calibri Light" w:cs="Calibri Light"/>
                        </w:rPr>
                      </w:pPr>
                    </w:p>
                    <w:p w14:paraId="2AB31CFD" w14:textId="77777777" w:rsidR="0001160D" w:rsidRPr="00DA1D2C" w:rsidRDefault="0001160D" w:rsidP="0001160D">
                      <w:pPr>
                        <w:pStyle w:val="ListParagraph"/>
                        <w:numPr>
                          <w:ilvl w:val="0"/>
                          <w:numId w:val="9"/>
                        </w:numPr>
                        <w:spacing w:after="160" w:line="259" w:lineRule="auto"/>
                        <w:ind w:left="426"/>
                        <w:rPr>
                          <w:rFonts w:ascii="Calibri Light" w:hAnsi="Calibri Light" w:cs="Calibri Light"/>
                          <w:i/>
                          <w:iCs/>
                        </w:rPr>
                      </w:pPr>
                      <w:r w:rsidRPr="00DA1D2C">
                        <w:rPr>
                          <w:rFonts w:ascii="Calibri Light" w:hAnsi="Calibri Light" w:cs="Calibri Light"/>
                          <w:i/>
                          <w:iCs/>
                        </w:rPr>
                        <w:t>To complete this template</w:t>
                      </w:r>
                      <w:r>
                        <w:rPr>
                          <w:rFonts w:ascii="Calibri Light" w:hAnsi="Calibri Light" w:cs="Calibri Light"/>
                          <w:i/>
                          <w:iCs/>
                        </w:rPr>
                        <w:t>:</w:t>
                      </w:r>
                    </w:p>
                    <w:p w14:paraId="346BD7A0" w14:textId="62512BA7" w:rsidR="0001160D" w:rsidRDefault="0001160D" w:rsidP="0001160D">
                      <w:pPr>
                        <w:pStyle w:val="ListParagraph"/>
                        <w:numPr>
                          <w:ilvl w:val="1"/>
                          <w:numId w:val="9"/>
                        </w:numPr>
                        <w:spacing w:after="160" w:line="259" w:lineRule="auto"/>
                        <w:ind w:left="709"/>
                        <w:jc w:val="both"/>
                        <w:rPr>
                          <w:rFonts w:ascii="Calibri Light" w:hAnsi="Calibri Light" w:cs="Calibri Light"/>
                        </w:rPr>
                      </w:pPr>
                      <w:r w:rsidRPr="00EE6249">
                        <w:rPr>
                          <w:rFonts w:ascii="Calibri Light" w:hAnsi="Calibri Light" w:cs="Calibri Light"/>
                        </w:rPr>
                        <w:t xml:space="preserve">replace any </w:t>
                      </w:r>
                      <w:r>
                        <w:rPr>
                          <w:rFonts w:ascii="Calibri Light" w:hAnsi="Calibri Light" w:cs="Calibri Light"/>
                        </w:rPr>
                        <w:t xml:space="preserve">RED </w:t>
                      </w:r>
                      <w:r w:rsidRPr="00E31755">
                        <w:rPr>
                          <w:rFonts w:ascii="Calibri Light" w:hAnsi="Calibri Light" w:cs="Calibri Light"/>
                        </w:rPr>
                        <w:t xml:space="preserve">text in </w:t>
                      </w:r>
                      <w:r>
                        <w:rPr>
                          <w:rFonts w:ascii="Calibri Light" w:hAnsi="Calibri Light" w:cs="Calibri Light"/>
                        </w:rPr>
                        <w:t>[</w:t>
                      </w:r>
                      <w:r w:rsidRPr="0001160D">
                        <w:rPr>
                          <w:rFonts w:ascii="Calibri Light" w:hAnsi="Calibri Light" w:cs="Calibri Light"/>
                          <w:color w:val="EE0000"/>
                        </w:rPr>
                        <w:t>square brackets</w:t>
                      </w:r>
                      <w:r w:rsidR="003350F2" w:rsidRPr="00C67F01">
                        <w:rPr>
                          <w:rFonts w:ascii="Calibri Light" w:hAnsi="Calibri Light" w:cs="Calibri Light"/>
                        </w:rPr>
                        <w:t>]</w:t>
                      </w:r>
                      <w:r>
                        <w:rPr>
                          <w:rFonts w:ascii="Calibri Light" w:hAnsi="Calibri Light" w:cs="Calibri Light"/>
                        </w:rPr>
                        <w:t>,</w:t>
                      </w:r>
                      <w:r w:rsidRPr="00E31755">
                        <w:rPr>
                          <w:rFonts w:ascii="Calibri Light" w:hAnsi="Calibri Light" w:cs="Calibri Light"/>
                        </w:rPr>
                        <w:t xml:space="preserve"> </w:t>
                      </w:r>
                      <w:r w:rsidRPr="00EE6249">
                        <w:rPr>
                          <w:rFonts w:ascii="Calibri Light" w:hAnsi="Calibri Light" w:cs="Calibri Light"/>
                        </w:rPr>
                        <w:t>then return th</w:t>
                      </w:r>
                      <w:r>
                        <w:rPr>
                          <w:rFonts w:ascii="Calibri Light" w:hAnsi="Calibri Light" w:cs="Calibri Light"/>
                        </w:rPr>
                        <w:t>e</w:t>
                      </w:r>
                      <w:r w:rsidRPr="00EE6249">
                        <w:rPr>
                          <w:rFonts w:ascii="Calibri Light" w:hAnsi="Calibri Light" w:cs="Calibri Light"/>
                        </w:rPr>
                        <w:t xml:space="preserve"> text to </w:t>
                      </w:r>
                      <w:r>
                        <w:rPr>
                          <w:rFonts w:ascii="Calibri Light" w:hAnsi="Calibri Light" w:cs="Calibri Light"/>
                        </w:rPr>
                        <w:t>black, without brackets</w:t>
                      </w:r>
                      <w:r w:rsidRPr="00EE6249">
                        <w:rPr>
                          <w:rFonts w:ascii="Calibri Light" w:hAnsi="Calibri Light" w:cs="Calibri Light"/>
                        </w:rPr>
                        <w:t xml:space="preserve">.  </w:t>
                      </w:r>
                      <w:r>
                        <w:rPr>
                          <w:rFonts w:ascii="Calibri Light" w:hAnsi="Calibri Light" w:cs="Calibri Light"/>
                        </w:rPr>
                        <w:t>Look out for all instances of [</w:t>
                      </w:r>
                      <w:r w:rsidRPr="0001160D">
                        <w:rPr>
                          <w:rFonts w:ascii="Calibri Light" w:hAnsi="Calibri Light" w:cs="Calibri Light"/>
                          <w:color w:val="EE0000"/>
                        </w:rPr>
                        <w:t>s/he</w:t>
                      </w:r>
                      <w:r>
                        <w:rPr>
                          <w:rFonts w:ascii="Calibri Light" w:hAnsi="Calibri Light" w:cs="Calibri Light"/>
                        </w:rPr>
                        <w:t>] [</w:t>
                      </w:r>
                      <w:r w:rsidRPr="0001160D">
                        <w:rPr>
                          <w:rFonts w:ascii="Calibri Light" w:hAnsi="Calibri Light" w:cs="Calibri Light"/>
                          <w:color w:val="EE0000"/>
                        </w:rPr>
                        <w:t>her/his</w:t>
                      </w:r>
                      <w:r>
                        <w:rPr>
                          <w:rFonts w:ascii="Calibri Light" w:hAnsi="Calibri Light" w:cs="Calibri Light"/>
                        </w:rPr>
                        <w:t>] [</w:t>
                      </w:r>
                      <w:r w:rsidRPr="0001160D">
                        <w:rPr>
                          <w:rFonts w:ascii="Calibri Light" w:hAnsi="Calibri Light" w:cs="Calibri Light"/>
                          <w:color w:val="EE0000"/>
                        </w:rPr>
                        <w:t>her/him</w:t>
                      </w:r>
                      <w:r>
                        <w:rPr>
                          <w:rFonts w:ascii="Calibri Light" w:hAnsi="Calibri Light" w:cs="Calibri Light"/>
                        </w:rPr>
                        <w:t xml:space="preserve">]. Consider the claimant’s name or ‘The Appellant’ as an alternative. </w:t>
                      </w:r>
                    </w:p>
                    <w:p w14:paraId="283BD411" w14:textId="77777777" w:rsidR="0001160D" w:rsidRDefault="0001160D" w:rsidP="0001160D">
                      <w:pPr>
                        <w:pStyle w:val="ListParagraph"/>
                        <w:numPr>
                          <w:ilvl w:val="1"/>
                          <w:numId w:val="9"/>
                        </w:numPr>
                        <w:spacing w:after="160" w:line="259" w:lineRule="auto"/>
                        <w:ind w:left="709"/>
                        <w:jc w:val="both"/>
                        <w:rPr>
                          <w:rFonts w:ascii="Calibri Light" w:hAnsi="Calibri Light" w:cs="Calibri Light"/>
                        </w:rPr>
                      </w:pPr>
                      <w:r w:rsidRPr="0034188C">
                        <w:rPr>
                          <w:rFonts w:ascii="Calibri Light" w:hAnsi="Calibri Light" w:cs="Calibri Light"/>
                        </w:rPr>
                        <w:t xml:space="preserve">Consider, address and then delete all prompts/comments and the square brackets surrounding them before sending. If you have deleted paragraphs that do not apply in your case, check numbering is still sequential. </w:t>
                      </w:r>
                    </w:p>
                    <w:p w14:paraId="1A4359D5" w14:textId="77777777" w:rsidR="0001160D" w:rsidRDefault="0001160D" w:rsidP="0001160D">
                      <w:pPr>
                        <w:pStyle w:val="ListParagraph"/>
                        <w:spacing w:after="160" w:line="259" w:lineRule="auto"/>
                        <w:ind w:left="709"/>
                        <w:jc w:val="both"/>
                        <w:rPr>
                          <w:rFonts w:ascii="Calibri Light" w:hAnsi="Calibri Light" w:cs="Calibri Light"/>
                        </w:rPr>
                      </w:pPr>
                    </w:p>
                    <w:p w14:paraId="24DA0910" w14:textId="77777777" w:rsidR="0001160D" w:rsidRPr="00DA1D2C" w:rsidRDefault="0001160D" w:rsidP="0001160D">
                      <w:pPr>
                        <w:pStyle w:val="ListParagraph"/>
                        <w:numPr>
                          <w:ilvl w:val="0"/>
                          <w:numId w:val="9"/>
                        </w:numPr>
                        <w:spacing w:after="160" w:line="259" w:lineRule="auto"/>
                        <w:ind w:left="284"/>
                        <w:jc w:val="both"/>
                        <w:rPr>
                          <w:rFonts w:ascii="Calibri Light" w:hAnsi="Calibri Light" w:cs="Calibri Light"/>
                          <w:i/>
                          <w:iCs/>
                        </w:rPr>
                      </w:pPr>
                      <w:r w:rsidRPr="00DA1D2C">
                        <w:rPr>
                          <w:rFonts w:ascii="Calibri Light" w:hAnsi="Calibri Light" w:cs="Calibri Light"/>
                          <w:i/>
                          <w:iCs/>
                        </w:rPr>
                        <w:t>After the appeal decision</w:t>
                      </w:r>
                      <w:r>
                        <w:rPr>
                          <w:rFonts w:ascii="Calibri Light" w:hAnsi="Calibri Light" w:cs="Calibri Light"/>
                          <w:i/>
                          <w:iCs/>
                        </w:rPr>
                        <w:t>, WARNING</w:t>
                      </w:r>
                      <w:r w:rsidRPr="00DA1D2C">
                        <w:rPr>
                          <w:rFonts w:ascii="Calibri Light" w:hAnsi="Calibri Light" w:cs="Calibri Light"/>
                          <w:i/>
                          <w:iCs/>
                        </w:rPr>
                        <w:t>:</w:t>
                      </w:r>
                    </w:p>
                    <w:p w14:paraId="5B9A65A1" w14:textId="77777777" w:rsidR="0001160D" w:rsidRPr="009F0346" w:rsidRDefault="0001160D" w:rsidP="0001160D">
                      <w:pPr>
                        <w:pStyle w:val="ListParagraph"/>
                        <w:numPr>
                          <w:ilvl w:val="1"/>
                          <w:numId w:val="9"/>
                        </w:numPr>
                        <w:ind w:left="567"/>
                        <w:contextualSpacing w:val="0"/>
                        <w:jc w:val="both"/>
                        <w:rPr>
                          <w:rFonts w:ascii="Calibri Light" w:hAnsi="Calibri Light" w:cs="Calibri Light"/>
                          <w:sz w:val="22"/>
                          <w:szCs w:val="22"/>
                        </w:rPr>
                      </w:pPr>
                      <w:r w:rsidRPr="009F0346">
                        <w:rPr>
                          <w:rFonts w:ascii="Calibri Light" w:hAnsi="Calibri Light" w:cs="Calibri Light"/>
                        </w:rPr>
                        <w:t>If the appeal is allowed</w:t>
                      </w:r>
                      <w:r>
                        <w:rPr>
                          <w:rFonts w:ascii="Calibri Light" w:hAnsi="Calibri Light" w:cs="Calibri Light"/>
                        </w:rPr>
                        <w:t>,</w:t>
                      </w:r>
                      <w:r w:rsidRPr="009F0346">
                        <w:rPr>
                          <w:rFonts w:ascii="Calibri Light" w:hAnsi="Calibri Light" w:cs="Calibri Light"/>
                        </w:rPr>
                        <w:t xml:space="preserve"> DWP </w:t>
                      </w:r>
                      <w:r w:rsidRPr="009F13CF">
                        <w:rPr>
                          <w:rFonts w:ascii="Calibri Light" w:hAnsi="Calibri Light" w:cs="Calibri Light"/>
                          <w:i/>
                          <w:iCs/>
                        </w:rPr>
                        <w:t>may</w:t>
                      </w:r>
                      <w:r w:rsidRPr="009F0346">
                        <w:rPr>
                          <w:rFonts w:ascii="Calibri Light" w:hAnsi="Calibri Light" w:cs="Calibri Light"/>
                        </w:rPr>
                        <w:t xml:space="preserve"> not accept it and may seek to appeal to the Upper Tribunal</w:t>
                      </w:r>
                      <w:r>
                        <w:rPr>
                          <w:rFonts w:ascii="Calibri Light" w:hAnsi="Calibri Light" w:cs="Calibri Light"/>
                        </w:rPr>
                        <w:t xml:space="preserve"> (and suspend payment under the First-tier Tribunal decision </w:t>
                      </w:r>
                      <w:r w:rsidRPr="009F0346">
                        <w:rPr>
                          <w:rFonts w:ascii="Calibri Light" w:hAnsi="Calibri Light" w:cs="Calibri Light"/>
                        </w:rPr>
                        <w:t>whilst they do so</w:t>
                      </w:r>
                      <w:r>
                        <w:rPr>
                          <w:rFonts w:ascii="Calibri Light" w:hAnsi="Calibri Light" w:cs="Calibri Light"/>
                        </w:rPr>
                        <w:t>)</w:t>
                      </w:r>
                      <w:r w:rsidRPr="009F0346">
                        <w:rPr>
                          <w:rFonts w:ascii="Calibri Light" w:hAnsi="Calibri Light" w:cs="Calibri Light"/>
                        </w:rPr>
                        <w:t>.</w:t>
                      </w:r>
                    </w:p>
                    <w:p w14:paraId="4D39C1E1" w14:textId="77777777" w:rsidR="0001160D" w:rsidRPr="00AB0317" w:rsidRDefault="0001160D" w:rsidP="0001160D">
                      <w:pPr>
                        <w:pStyle w:val="ListParagraph"/>
                        <w:numPr>
                          <w:ilvl w:val="1"/>
                          <w:numId w:val="9"/>
                        </w:numPr>
                        <w:ind w:left="567"/>
                        <w:contextualSpacing w:val="0"/>
                        <w:jc w:val="both"/>
                        <w:rPr>
                          <w:rFonts w:ascii="Calibri Light" w:hAnsi="Calibri Light" w:cs="Calibri Light"/>
                          <w:sz w:val="22"/>
                          <w:szCs w:val="22"/>
                        </w:rPr>
                      </w:pPr>
                      <w:r w:rsidRPr="009F0346">
                        <w:rPr>
                          <w:rFonts w:ascii="Calibri Light" w:hAnsi="Calibri Light" w:cs="Calibri Light"/>
                        </w:rPr>
                        <w:t>If the appeal is dismissed</w:t>
                      </w:r>
                      <w:r>
                        <w:rPr>
                          <w:rFonts w:ascii="Calibri Light" w:hAnsi="Calibri Light" w:cs="Calibri Light"/>
                        </w:rPr>
                        <w:t>,</w:t>
                      </w:r>
                      <w:r w:rsidRPr="009F0346">
                        <w:rPr>
                          <w:rFonts w:ascii="Calibri Light" w:hAnsi="Calibri Light" w:cs="Calibri Light"/>
                        </w:rPr>
                        <w:t xml:space="preserve"> then the claimant may wish to seek permission to appeal to the Upper Tribunal and then to appeal to that Tribunal on the grounds the First-tier Tribunal was wrong not to accept the argument.</w:t>
                      </w:r>
                    </w:p>
                    <w:p w14:paraId="3BCFC043" w14:textId="77777777" w:rsidR="0001160D" w:rsidRPr="00AB0317" w:rsidRDefault="0001160D" w:rsidP="0001160D">
                      <w:pPr>
                        <w:pStyle w:val="ListParagraph"/>
                        <w:numPr>
                          <w:ilvl w:val="1"/>
                          <w:numId w:val="9"/>
                        </w:numPr>
                        <w:ind w:left="567"/>
                        <w:contextualSpacing w:val="0"/>
                        <w:jc w:val="both"/>
                        <w:rPr>
                          <w:rFonts w:ascii="Calibri Light" w:hAnsi="Calibri Light" w:cs="Calibri Light"/>
                          <w:sz w:val="22"/>
                          <w:szCs w:val="22"/>
                        </w:rPr>
                      </w:pPr>
                      <w:r w:rsidRPr="00AB0317">
                        <w:rPr>
                          <w:rFonts w:ascii="Calibri Light" w:hAnsi="Calibri Light" w:cs="Calibri Light"/>
                        </w:rPr>
                        <w:t>In either case, advisers can contact CPAG for further support with the appeal by getting in touch with the</w:t>
                      </w:r>
                      <w:r>
                        <w:rPr>
                          <w:rFonts w:ascii="Calibri Light" w:hAnsi="Calibri Light" w:cs="Calibri Light"/>
                        </w:rPr>
                        <w:t xml:space="preserve"> </w:t>
                      </w:r>
                      <w:hyperlink r:id="rId14" w:history="1">
                        <w:r>
                          <w:rPr>
                            <w:rStyle w:val="Hyperlink"/>
                            <w:rFonts w:ascii="Calibri Light" w:hAnsi="Calibri Light" w:cs="Calibri Light"/>
                          </w:rPr>
                          <w:t>U</w:t>
                        </w:r>
                        <w:r w:rsidRPr="0050525D">
                          <w:rPr>
                            <w:rStyle w:val="Hyperlink"/>
                            <w:rFonts w:ascii="Calibri Light" w:hAnsi="Calibri Light" w:cs="Calibri Light"/>
                          </w:rPr>
                          <w:t>pper Tribunal Project</w:t>
                        </w:r>
                      </w:hyperlink>
                      <w:r w:rsidRPr="00AB0317">
                        <w:rPr>
                          <w:rFonts w:ascii="Calibri Light" w:hAnsi="Calibri Light" w:cs="Calibri Light"/>
                        </w:rPr>
                        <w:t xml:space="preserve">, or via the </w:t>
                      </w:r>
                      <w:hyperlink r:id="rId15" w:anchor=":~:text=CPAG%20intervenes%20in%20existing%20cases,our%20test%20case%20referral%20form%20." w:history="1">
                        <w:r w:rsidRPr="00482A59">
                          <w:rPr>
                            <w:rStyle w:val="Hyperlink"/>
                            <w:rFonts w:ascii="Calibri Light" w:hAnsi="Calibri Light" w:cs="Calibri Light"/>
                          </w:rPr>
                          <w:t>testcases referral mechanism</w:t>
                        </w:r>
                      </w:hyperlink>
                      <w:r w:rsidRPr="00AB0317">
                        <w:rPr>
                          <w:rFonts w:ascii="Calibri Light" w:hAnsi="Calibri Light" w:cs="Calibri Light"/>
                        </w:rPr>
                        <w:t>.</w:t>
                      </w:r>
                    </w:p>
                    <w:p w14:paraId="2C0F96EB" w14:textId="77777777" w:rsidR="0001160D" w:rsidRDefault="0001160D" w:rsidP="0001160D"/>
                    <w:p w14:paraId="6D1D8145" w14:textId="77777777" w:rsidR="0001160D" w:rsidRPr="000C4D31" w:rsidRDefault="0001160D" w:rsidP="0001160D">
                      <w:pPr>
                        <w:rPr>
                          <w:rFonts w:ascii="Calibri Light" w:hAnsi="Calibri Light" w:cs="Calibri Light"/>
                          <w:b/>
                          <w:bCs/>
                          <w:color w:val="EE0000"/>
                        </w:rPr>
                      </w:pPr>
                      <w:r w:rsidRPr="000C4D31">
                        <w:rPr>
                          <w:rFonts w:ascii="Calibri Light" w:hAnsi="Calibri Light" w:cs="Calibri Light"/>
                          <w:b/>
                          <w:bCs/>
                          <w:color w:val="EE0000"/>
                        </w:rPr>
                        <w:t xml:space="preserve">Delete box before posting </w:t>
                      </w:r>
                    </w:p>
                  </w:txbxContent>
                </v:textbox>
                <w10:wrap type="square"/>
              </v:shape>
            </w:pict>
          </mc:Fallback>
        </mc:AlternateContent>
      </w:r>
    </w:p>
    <w:tbl>
      <w:tblPr>
        <w:tblW w:w="9108" w:type="dxa"/>
        <w:tblLook w:val="01E0" w:firstRow="1" w:lastRow="1" w:firstColumn="1" w:lastColumn="1" w:noHBand="0" w:noVBand="0"/>
      </w:tblPr>
      <w:tblGrid>
        <w:gridCol w:w="5211"/>
        <w:gridCol w:w="3897"/>
      </w:tblGrid>
      <w:tr w:rsidR="00603545" w:rsidRPr="00CD1EE5" w14:paraId="507753D4" w14:textId="77777777" w:rsidTr="00773FE7">
        <w:tc>
          <w:tcPr>
            <w:tcW w:w="5211" w:type="dxa"/>
          </w:tcPr>
          <w:p w14:paraId="407619C7" w14:textId="308B5CC5" w:rsidR="00603545" w:rsidRPr="00CD1EE5" w:rsidRDefault="00603545" w:rsidP="00773FE7">
            <w:pPr>
              <w:spacing w:before="120"/>
              <w:rPr>
                <w:rFonts w:ascii="Calibri Light" w:hAnsi="Calibri Light" w:cs="Calibri"/>
                <w:b/>
              </w:rPr>
            </w:pPr>
            <w:r w:rsidRPr="00CD1EE5">
              <w:rPr>
                <w:rFonts w:ascii="Calibri Light" w:hAnsi="Calibri Light" w:cs="Calibri"/>
                <w:b/>
              </w:rPr>
              <w:t xml:space="preserve">First-tier Tribunal </w:t>
            </w:r>
            <w:r w:rsidR="00FD7061">
              <w:rPr>
                <w:rFonts w:ascii="Calibri Light" w:hAnsi="Calibri Light" w:cs="Calibri"/>
                <w:b/>
              </w:rPr>
              <w:br/>
            </w:r>
            <w:r w:rsidRPr="00CD1EE5">
              <w:rPr>
                <w:rFonts w:ascii="Calibri Light" w:hAnsi="Calibri Light" w:cs="Calibri"/>
                <w:b/>
              </w:rPr>
              <w:t>(Social Entitlement Chamber)</w:t>
            </w:r>
          </w:p>
          <w:p w14:paraId="672A6659" w14:textId="77777777" w:rsidR="00603545" w:rsidRPr="00CD1EE5" w:rsidRDefault="00603545" w:rsidP="00773FE7">
            <w:pPr>
              <w:spacing w:before="120"/>
              <w:rPr>
                <w:rFonts w:ascii="Calibri Light" w:hAnsi="Calibri Light" w:cs="Calibri"/>
                <w:b/>
                <w:sz w:val="28"/>
                <w:szCs w:val="28"/>
              </w:rPr>
            </w:pPr>
          </w:p>
          <w:p w14:paraId="0A37501D" w14:textId="77777777" w:rsidR="00603545" w:rsidRPr="00CD1EE5" w:rsidRDefault="00603545" w:rsidP="00773FE7">
            <w:pPr>
              <w:spacing w:before="120"/>
              <w:rPr>
                <w:rFonts w:ascii="Calibri Light" w:hAnsi="Calibri Light" w:cs="Calibri"/>
                <w:b/>
                <w:sz w:val="28"/>
                <w:szCs w:val="28"/>
              </w:rPr>
            </w:pPr>
          </w:p>
        </w:tc>
        <w:tc>
          <w:tcPr>
            <w:tcW w:w="3897" w:type="dxa"/>
          </w:tcPr>
          <w:p w14:paraId="1F61FE4D" w14:textId="2CFC7CEB" w:rsidR="00603545" w:rsidRPr="00CD1EE5" w:rsidRDefault="00603545" w:rsidP="00206FB7">
            <w:pPr>
              <w:spacing w:before="120"/>
              <w:jc w:val="right"/>
              <w:rPr>
                <w:rFonts w:ascii="Calibri Light" w:hAnsi="Calibri Light" w:cs="Calibri"/>
                <w:b/>
              </w:rPr>
            </w:pPr>
            <w:r w:rsidRPr="00CD1EE5">
              <w:rPr>
                <w:rFonts w:ascii="Calibri Light" w:hAnsi="Calibri Light" w:cs="Calibri"/>
                <w:b/>
              </w:rPr>
              <w:t xml:space="preserve">Tribunal Ref: </w:t>
            </w:r>
            <w:r w:rsidR="0060561B">
              <w:rPr>
                <w:rFonts w:ascii="Calibri Light" w:hAnsi="Calibri Light" w:cs="Calibri"/>
                <w:b/>
              </w:rPr>
              <w:t>[</w:t>
            </w:r>
            <w:r w:rsidR="0060561B" w:rsidRPr="0011389B">
              <w:rPr>
                <w:rFonts w:ascii="Calibri Light" w:hAnsi="Calibri Light" w:cs="Calibri"/>
                <w:b/>
                <w:color w:val="EE0000"/>
              </w:rPr>
              <w:t>TRIBUNAL REFERENCE NUMBER</w:t>
            </w:r>
            <w:r w:rsidR="0060561B">
              <w:rPr>
                <w:rFonts w:ascii="Calibri Light" w:hAnsi="Calibri Light" w:cs="Calibri"/>
                <w:b/>
              </w:rPr>
              <w:t>]</w:t>
            </w:r>
          </w:p>
        </w:tc>
      </w:tr>
    </w:tbl>
    <w:p w14:paraId="0A525EEF" w14:textId="77777777" w:rsidR="005F13A7" w:rsidRPr="00CD1EE5" w:rsidRDefault="006E5D8E" w:rsidP="006E5D8E">
      <w:pPr>
        <w:spacing w:before="120"/>
        <w:rPr>
          <w:rFonts w:ascii="Calibri Light" w:hAnsi="Calibri Light" w:cs="Calibri"/>
          <w:b/>
          <w:sz w:val="28"/>
          <w:szCs w:val="28"/>
        </w:rPr>
      </w:pPr>
      <w:r w:rsidRPr="00CD1EE5">
        <w:rPr>
          <w:rFonts w:ascii="Calibri Light" w:hAnsi="Calibri Light" w:cs="Calibri"/>
          <w:b/>
          <w:sz w:val="28"/>
          <w:szCs w:val="28"/>
        </w:rPr>
        <w:t>BETWEEN</w:t>
      </w:r>
    </w:p>
    <w:tbl>
      <w:tblPr>
        <w:tblW w:w="7740" w:type="dxa"/>
        <w:tblInd w:w="1368" w:type="dxa"/>
        <w:tblLook w:val="01E0" w:firstRow="1" w:lastRow="1" w:firstColumn="1" w:lastColumn="1" w:noHBand="0" w:noVBand="0"/>
      </w:tblPr>
      <w:tblGrid>
        <w:gridCol w:w="5906"/>
        <w:gridCol w:w="1834"/>
      </w:tblGrid>
      <w:tr w:rsidR="006E5D8E" w:rsidRPr="00CD1EE5" w14:paraId="65D1BD1C" w14:textId="77777777" w:rsidTr="002209F7">
        <w:tc>
          <w:tcPr>
            <w:tcW w:w="5906" w:type="dxa"/>
          </w:tcPr>
          <w:p w14:paraId="320A4471" w14:textId="7DEC1A20" w:rsidR="006E5D8E" w:rsidRPr="00CD1EE5" w:rsidRDefault="00CE2963" w:rsidP="003A6452">
            <w:pPr>
              <w:spacing w:before="360"/>
              <w:jc w:val="center"/>
              <w:rPr>
                <w:rFonts w:ascii="Calibri Light" w:hAnsi="Calibri Light" w:cs="Calibri"/>
                <w:b/>
                <w:sz w:val="28"/>
                <w:szCs w:val="28"/>
              </w:rPr>
            </w:pPr>
            <w:r>
              <w:rPr>
                <w:rFonts w:ascii="Calibri Light" w:hAnsi="Calibri Light" w:cs="Calibri"/>
                <w:b/>
                <w:sz w:val="28"/>
                <w:szCs w:val="28"/>
              </w:rPr>
              <w:t>[</w:t>
            </w:r>
            <w:r w:rsidR="00AC1A9B" w:rsidRPr="00AC1A9B">
              <w:rPr>
                <w:rFonts w:ascii="Calibri Light" w:hAnsi="Calibri Light" w:cs="Calibri"/>
                <w:b/>
                <w:color w:val="EE0000"/>
                <w:sz w:val="28"/>
                <w:szCs w:val="28"/>
              </w:rPr>
              <w:t xml:space="preserve">FULL </w:t>
            </w:r>
            <w:r w:rsidRPr="00AC1A9B">
              <w:rPr>
                <w:rFonts w:ascii="Calibri Light" w:hAnsi="Calibri Light" w:cs="Calibri"/>
                <w:b/>
                <w:color w:val="EE0000"/>
                <w:sz w:val="28"/>
                <w:szCs w:val="28"/>
              </w:rPr>
              <w:t>NAME</w:t>
            </w:r>
            <w:r>
              <w:rPr>
                <w:rFonts w:ascii="Calibri Light" w:hAnsi="Calibri Light" w:cs="Calibri"/>
                <w:b/>
                <w:sz w:val="28"/>
                <w:szCs w:val="28"/>
              </w:rPr>
              <w:t>]</w:t>
            </w:r>
          </w:p>
        </w:tc>
        <w:tc>
          <w:tcPr>
            <w:tcW w:w="1834" w:type="dxa"/>
          </w:tcPr>
          <w:p w14:paraId="229A0086" w14:textId="77777777" w:rsidR="006E5D8E" w:rsidRPr="00CD1EE5" w:rsidRDefault="006E5D8E" w:rsidP="002209F7">
            <w:pPr>
              <w:spacing w:before="360"/>
              <w:jc w:val="center"/>
              <w:rPr>
                <w:rFonts w:ascii="Calibri Light" w:hAnsi="Calibri Light" w:cs="Calibri"/>
                <w:b/>
                <w:sz w:val="28"/>
                <w:szCs w:val="28"/>
                <w:u w:val="single"/>
              </w:rPr>
            </w:pPr>
            <w:r w:rsidRPr="00CD1EE5">
              <w:rPr>
                <w:rFonts w:ascii="Calibri Light" w:hAnsi="Calibri Light" w:cs="Calibri"/>
                <w:b/>
                <w:sz w:val="28"/>
                <w:szCs w:val="28"/>
                <w:u w:val="single"/>
              </w:rPr>
              <w:t>Appellant</w:t>
            </w:r>
          </w:p>
        </w:tc>
      </w:tr>
      <w:tr w:rsidR="006E5D8E" w:rsidRPr="00CD1EE5" w14:paraId="41FC16D6" w14:textId="77777777" w:rsidTr="002209F7">
        <w:tc>
          <w:tcPr>
            <w:tcW w:w="5906" w:type="dxa"/>
          </w:tcPr>
          <w:p w14:paraId="56B385A7" w14:textId="77777777" w:rsidR="006E5D8E" w:rsidRPr="00CD1EE5" w:rsidRDefault="006E5D8E" w:rsidP="002209F7">
            <w:pPr>
              <w:spacing w:before="360"/>
              <w:jc w:val="center"/>
              <w:rPr>
                <w:rFonts w:ascii="Calibri Light" w:hAnsi="Calibri Light" w:cs="Calibri"/>
                <w:b/>
                <w:sz w:val="28"/>
                <w:szCs w:val="28"/>
              </w:rPr>
            </w:pPr>
            <w:r w:rsidRPr="00CD1EE5">
              <w:rPr>
                <w:rFonts w:ascii="Calibri Light" w:hAnsi="Calibri Light" w:cs="Calibri"/>
                <w:b/>
                <w:sz w:val="28"/>
                <w:szCs w:val="28"/>
              </w:rPr>
              <w:t>-and-</w:t>
            </w:r>
          </w:p>
        </w:tc>
        <w:tc>
          <w:tcPr>
            <w:tcW w:w="1834" w:type="dxa"/>
          </w:tcPr>
          <w:p w14:paraId="5DAB6C7B" w14:textId="77777777" w:rsidR="006E5D8E" w:rsidRPr="00CD1EE5" w:rsidRDefault="006E5D8E" w:rsidP="002209F7">
            <w:pPr>
              <w:spacing w:before="360"/>
              <w:jc w:val="center"/>
              <w:rPr>
                <w:rFonts w:ascii="Calibri Light" w:hAnsi="Calibri Light" w:cs="Calibri"/>
                <w:b/>
                <w:sz w:val="28"/>
                <w:szCs w:val="28"/>
              </w:rPr>
            </w:pPr>
          </w:p>
        </w:tc>
      </w:tr>
      <w:tr w:rsidR="006E5D8E" w:rsidRPr="00CD1EE5" w14:paraId="6BB483BD" w14:textId="77777777" w:rsidTr="002209F7">
        <w:tc>
          <w:tcPr>
            <w:tcW w:w="5906" w:type="dxa"/>
          </w:tcPr>
          <w:p w14:paraId="0DB9A41C" w14:textId="0972A550" w:rsidR="006E5D8E" w:rsidRPr="00CD1EE5" w:rsidRDefault="006E5D8E" w:rsidP="002209F7">
            <w:pPr>
              <w:spacing w:before="360"/>
              <w:jc w:val="center"/>
              <w:rPr>
                <w:rFonts w:ascii="Calibri Light" w:hAnsi="Calibri Light" w:cs="Calibri"/>
                <w:b/>
                <w:sz w:val="28"/>
                <w:szCs w:val="28"/>
              </w:rPr>
            </w:pPr>
            <w:r w:rsidRPr="00CD1EE5">
              <w:rPr>
                <w:rFonts w:ascii="Calibri Light" w:hAnsi="Calibri Light" w:cs="Calibri"/>
                <w:b/>
                <w:sz w:val="28"/>
                <w:szCs w:val="28"/>
              </w:rPr>
              <w:t>Secretary of State for Work and Pensions</w:t>
            </w:r>
            <w:r w:rsidR="003463AB">
              <w:rPr>
                <w:rFonts w:ascii="Calibri Light" w:hAnsi="Calibri Light" w:cs="Calibri"/>
                <w:b/>
                <w:sz w:val="28"/>
                <w:szCs w:val="28"/>
              </w:rPr>
              <w:t xml:space="preserve"> (</w:t>
            </w:r>
            <w:r w:rsidR="00612928">
              <w:rPr>
                <w:rFonts w:ascii="Calibri Light" w:hAnsi="Calibri Light" w:cs="Calibri"/>
                <w:b/>
                <w:sz w:val="28"/>
                <w:szCs w:val="28"/>
              </w:rPr>
              <w:t>“</w:t>
            </w:r>
            <w:r w:rsidR="003463AB">
              <w:rPr>
                <w:rFonts w:ascii="Calibri Light" w:hAnsi="Calibri Light" w:cs="Calibri"/>
                <w:b/>
                <w:sz w:val="28"/>
                <w:szCs w:val="28"/>
              </w:rPr>
              <w:t>SSWP</w:t>
            </w:r>
            <w:r w:rsidR="00612928">
              <w:rPr>
                <w:rFonts w:ascii="Calibri Light" w:hAnsi="Calibri Light" w:cs="Calibri"/>
                <w:b/>
                <w:sz w:val="28"/>
                <w:szCs w:val="28"/>
              </w:rPr>
              <w:t>”</w:t>
            </w:r>
            <w:r w:rsidR="003463AB">
              <w:rPr>
                <w:rFonts w:ascii="Calibri Light" w:hAnsi="Calibri Light" w:cs="Calibri"/>
                <w:b/>
                <w:sz w:val="28"/>
                <w:szCs w:val="28"/>
              </w:rPr>
              <w:t>)</w:t>
            </w:r>
          </w:p>
        </w:tc>
        <w:tc>
          <w:tcPr>
            <w:tcW w:w="1834" w:type="dxa"/>
          </w:tcPr>
          <w:p w14:paraId="451F7B67" w14:textId="77777777" w:rsidR="006E5D8E" w:rsidRPr="00CD1EE5" w:rsidRDefault="006E5D8E" w:rsidP="002209F7">
            <w:pPr>
              <w:spacing w:before="360"/>
              <w:jc w:val="center"/>
              <w:rPr>
                <w:rFonts w:ascii="Calibri Light" w:hAnsi="Calibri Light" w:cs="Calibri"/>
                <w:b/>
                <w:sz w:val="28"/>
                <w:szCs w:val="28"/>
                <w:u w:val="single"/>
              </w:rPr>
            </w:pPr>
            <w:r w:rsidRPr="00CD1EE5">
              <w:rPr>
                <w:rFonts w:ascii="Calibri Light" w:hAnsi="Calibri Light" w:cs="Calibri"/>
                <w:b/>
                <w:sz w:val="28"/>
                <w:szCs w:val="28"/>
                <w:u w:val="single"/>
              </w:rPr>
              <w:t>Respondent</w:t>
            </w:r>
          </w:p>
        </w:tc>
      </w:tr>
    </w:tbl>
    <w:p w14:paraId="4361A6AD" w14:textId="77777777" w:rsidR="00B85333" w:rsidRPr="00CD1EE5" w:rsidRDefault="00B85333" w:rsidP="00B85333">
      <w:pPr>
        <w:spacing w:before="120"/>
        <w:jc w:val="center"/>
        <w:rPr>
          <w:rFonts w:ascii="Calibri Light" w:hAnsi="Calibri Light" w:cs="Calibri"/>
          <w:sz w:val="28"/>
          <w:szCs w:val="28"/>
        </w:rPr>
      </w:pPr>
      <w:r w:rsidRPr="00CD1EE5">
        <w:rPr>
          <w:rFonts w:ascii="Calibri Light" w:hAnsi="Calibri Light" w:cs="Calibri"/>
          <w:sz w:val="28"/>
          <w:szCs w:val="28"/>
        </w:rPr>
        <w:t>_______________</w:t>
      </w:r>
    </w:p>
    <w:p w14:paraId="02EB378F" w14:textId="77777777" w:rsidR="00B85333" w:rsidRPr="00CD1EE5" w:rsidRDefault="00B85333" w:rsidP="00603545">
      <w:pPr>
        <w:jc w:val="center"/>
        <w:rPr>
          <w:rFonts w:ascii="Calibri Light" w:hAnsi="Calibri Light" w:cs="Calibri"/>
          <w:b/>
          <w:sz w:val="28"/>
          <w:szCs w:val="28"/>
        </w:rPr>
      </w:pPr>
    </w:p>
    <w:p w14:paraId="4D8ED0FE" w14:textId="77777777" w:rsidR="006E5D8E" w:rsidRPr="00CD1EE5" w:rsidRDefault="00427AD2" w:rsidP="00603545">
      <w:pPr>
        <w:spacing w:before="120" w:after="240"/>
        <w:jc w:val="center"/>
        <w:rPr>
          <w:rFonts w:ascii="Calibri Light" w:hAnsi="Calibri Light" w:cs="Calibri"/>
          <w:b/>
          <w:sz w:val="28"/>
          <w:szCs w:val="28"/>
        </w:rPr>
      </w:pPr>
      <w:r w:rsidRPr="00CD1EE5">
        <w:rPr>
          <w:rFonts w:ascii="Calibri Light" w:hAnsi="Calibri Light" w:cs="Calibri"/>
          <w:b/>
          <w:sz w:val="28"/>
          <w:szCs w:val="28"/>
        </w:rPr>
        <w:t>Reply for appellant</w:t>
      </w:r>
    </w:p>
    <w:p w14:paraId="4CC93022" w14:textId="77777777" w:rsidR="00603545" w:rsidRDefault="00603545" w:rsidP="00603545">
      <w:pPr>
        <w:jc w:val="center"/>
      </w:pPr>
      <w:r>
        <w:rPr>
          <w:rFonts w:ascii="Calibri Light" w:hAnsi="Calibri Light" w:cs="Calibri"/>
          <w:sz w:val="28"/>
          <w:szCs w:val="28"/>
        </w:rPr>
        <w:t>_______________</w:t>
      </w:r>
    </w:p>
    <w:p w14:paraId="6A05A809" w14:textId="77777777" w:rsidR="00603545" w:rsidRPr="00CD1EE5" w:rsidRDefault="00603545" w:rsidP="00B85333">
      <w:pPr>
        <w:spacing w:before="120"/>
        <w:jc w:val="center"/>
        <w:rPr>
          <w:rFonts w:ascii="Calibri Light" w:hAnsi="Calibri Light" w:cs="Calibri"/>
          <w:sz w:val="28"/>
          <w:szCs w:val="28"/>
        </w:rPr>
      </w:pPr>
    </w:p>
    <w:p w14:paraId="6273BCDC" w14:textId="65728E2F" w:rsidR="00B1458B" w:rsidRPr="0078481B" w:rsidRDefault="00CD1EE5" w:rsidP="00FC7570">
      <w:pPr>
        <w:spacing w:before="120" w:line="360" w:lineRule="auto"/>
        <w:jc w:val="both"/>
        <w:rPr>
          <w:rFonts w:asciiTheme="majorHAnsi" w:hAnsiTheme="majorHAnsi" w:cstheme="majorHAnsi"/>
          <w:b/>
          <w:bCs/>
          <w:iCs/>
          <w:u w:val="single"/>
        </w:rPr>
      </w:pPr>
      <w:r w:rsidRPr="0078481B">
        <w:rPr>
          <w:rFonts w:asciiTheme="majorHAnsi" w:hAnsiTheme="majorHAnsi" w:cstheme="majorHAnsi"/>
          <w:b/>
          <w:bCs/>
          <w:iCs/>
          <w:u w:val="single"/>
        </w:rPr>
        <w:lastRenderedPageBreak/>
        <w:t>Decision appealed and outcome sought</w:t>
      </w:r>
    </w:p>
    <w:p w14:paraId="602BE89F" w14:textId="42F3BBF0" w:rsidR="00C44C97" w:rsidRPr="0078481B" w:rsidRDefault="00CE2963" w:rsidP="00E77A14">
      <w:pPr>
        <w:numPr>
          <w:ilvl w:val="0"/>
          <w:numId w:val="1"/>
        </w:numPr>
        <w:spacing w:before="120" w:line="360" w:lineRule="auto"/>
        <w:ind w:left="357" w:hanging="357"/>
        <w:jc w:val="both"/>
        <w:rPr>
          <w:rFonts w:asciiTheme="majorHAnsi" w:hAnsiTheme="majorHAnsi" w:cstheme="majorHAnsi"/>
        </w:rPr>
      </w:pPr>
      <w:r w:rsidRPr="0078481B">
        <w:rPr>
          <w:rFonts w:asciiTheme="majorHAnsi" w:hAnsiTheme="majorHAnsi" w:cstheme="majorHAnsi"/>
        </w:rPr>
        <w:t>[</w:t>
      </w:r>
      <w:r w:rsidR="0011389B" w:rsidRPr="00AC1A9B">
        <w:rPr>
          <w:rFonts w:asciiTheme="majorHAnsi" w:hAnsiTheme="majorHAnsi" w:cstheme="majorHAnsi"/>
          <w:color w:val="EE0000"/>
        </w:rPr>
        <w:t>Ti</w:t>
      </w:r>
      <w:r w:rsidR="0011389B" w:rsidRPr="0011389B">
        <w:rPr>
          <w:rFonts w:asciiTheme="majorHAnsi" w:hAnsiTheme="majorHAnsi" w:cstheme="majorHAnsi"/>
          <w:color w:val="EE0000"/>
        </w:rPr>
        <w:t xml:space="preserve">tle. Last </w:t>
      </w:r>
      <w:r w:rsidR="0011389B">
        <w:rPr>
          <w:rFonts w:asciiTheme="majorHAnsi" w:hAnsiTheme="majorHAnsi" w:cstheme="majorHAnsi"/>
          <w:color w:val="EE0000"/>
        </w:rPr>
        <w:t>N</w:t>
      </w:r>
      <w:r w:rsidR="0011389B" w:rsidRPr="0011389B">
        <w:rPr>
          <w:rFonts w:asciiTheme="majorHAnsi" w:hAnsiTheme="majorHAnsi" w:cstheme="majorHAnsi"/>
          <w:color w:val="EE0000"/>
        </w:rPr>
        <w:t>ame</w:t>
      </w:r>
      <w:r w:rsidRPr="0078481B">
        <w:rPr>
          <w:rFonts w:asciiTheme="majorHAnsi" w:hAnsiTheme="majorHAnsi" w:cstheme="majorHAnsi"/>
        </w:rPr>
        <w:t>]</w:t>
      </w:r>
      <w:r w:rsidR="008413A4" w:rsidRPr="0078481B">
        <w:rPr>
          <w:rFonts w:asciiTheme="majorHAnsi" w:hAnsiTheme="majorHAnsi" w:cstheme="majorHAnsi"/>
        </w:rPr>
        <w:t xml:space="preserve">, the Appellant, appeals against the decision </w:t>
      </w:r>
      <w:r w:rsidR="00693875" w:rsidRPr="0078481B">
        <w:rPr>
          <w:rFonts w:asciiTheme="majorHAnsi" w:hAnsiTheme="majorHAnsi" w:cstheme="majorHAnsi"/>
        </w:rPr>
        <w:t xml:space="preserve">dated </w:t>
      </w:r>
      <w:r w:rsidR="00456D10" w:rsidRPr="0078481B">
        <w:rPr>
          <w:rFonts w:asciiTheme="majorHAnsi" w:hAnsiTheme="majorHAnsi" w:cstheme="majorHAnsi"/>
        </w:rPr>
        <w:t>[</w:t>
      </w:r>
      <w:r w:rsidR="0011389B" w:rsidRPr="0011389B">
        <w:rPr>
          <w:rFonts w:asciiTheme="majorHAnsi" w:hAnsiTheme="majorHAnsi" w:cstheme="majorHAnsi"/>
          <w:color w:val="EE0000"/>
        </w:rPr>
        <w:t>date of supersession decision under appeal</w:t>
      </w:r>
      <w:r w:rsidR="00456D10" w:rsidRPr="0078481B">
        <w:rPr>
          <w:rFonts w:asciiTheme="majorHAnsi" w:hAnsiTheme="majorHAnsi" w:cstheme="majorHAnsi"/>
        </w:rPr>
        <w:t xml:space="preserve">] </w:t>
      </w:r>
      <w:r w:rsidR="00037D7D" w:rsidRPr="0078481B">
        <w:rPr>
          <w:rFonts w:asciiTheme="majorHAnsi" w:hAnsiTheme="majorHAnsi" w:cstheme="majorHAnsi"/>
        </w:rPr>
        <w:t>which superseded</w:t>
      </w:r>
      <w:r w:rsidR="006D6164" w:rsidRPr="0078481B">
        <w:rPr>
          <w:rFonts w:asciiTheme="majorHAnsi" w:hAnsiTheme="majorHAnsi" w:cstheme="majorHAnsi"/>
        </w:rPr>
        <w:t xml:space="preserve"> [</w:t>
      </w:r>
      <w:r w:rsidR="0011389B" w:rsidRPr="0011389B">
        <w:rPr>
          <w:rFonts w:asciiTheme="majorHAnsi" w:hAnsiTheme="majorHAnsi" w:cstheme="majorHAnsi"/>
          <w:color w:val="EE0000"/>
        </w:rPr>
        <w:t>his/her</w:t>
      </w:r>
      <w:r w:rsidR="006D6164" w:rsidRPr="0078481B">
        <w:rPr>
          <w:rFonts w:asciiTheme="majorHAnsi" w:hAnsiTheme="majorHAnsi" w:cstheme="majorHAnsi"/>
        </w:rPr>
        <w:t xml:space="preserve">] </w:t>
      </w:r>
      <w:r w:rsidR="00F64294" w:rsidRPr="0078481B">
        <w:rPr>
          <w:rFonts w:asciiTheme="majorHAnsi" w:hAnsiTheme="majorHAnsi" w:cstheme="majorHAnsi"/>
        </w:rPr>
        <w:t>Universal Credit (</w:t>
      </w:r>
      <w:r w:rsidR="0011389B">
        <w:rPr>
          <w:rFonts w:asciiTheme="majorHAnsi" w:hAnsiTheme="majorHAnsi" w:cstheme="majorHAnsi"/>
        </w:rPr>
        <w:t>“</w:t>
      </w:r>
      <w:r w:rsidR="00F64294" w:rsidRPr="0078481B">
        <w:rPr>
          <w:rFonts w:asciiTheme="majorHAnsi" w:hAnsiTheme="majorHAnsi" w:cstheme="majorHAnsi"/>
          <w:b/>
          <w:bCs/>
        </w:rPr>
        <w:t>UC</w:t>
      </w:r>
      <w:r w:rsidR="0011389B">
        <w:rPr>
          <w:rFonts w:asciiTheme="majorHAnsi" w:hAnsiTheme="majorHAnsi" w:cstheme="majorHAnsi"/>
          <w:b/>
          <w:bCs/>
        </w:rPr>
        <w:t>”</w:t>
      </w:r>
      <w:r w:rsidR="00F64294" w:rsidRPr="0078481B">
        <w:rPr>
          <w:rFonts w:asciiTheme="majorHAnsi" w:hAnsiTheme="majorHAnsi" w:cstheme="majorHAnsi"/>
        </w:rPr>
        <w:t xml:space="preserve">) </w:t>
      </w:r>
      <w:r w:rsidR="00037D7D" w:rsidRPr="0078481B">
        <w:rPr>
          <w:rFonts w:asciiTheme="majorHAnsi" w:hAnsiTheme="majorHAnsi" w:cstheme="majorHAnsi"/>
        </w:rPr>
        <w:t>award</w:t>
      </w:r>
      <w:r w:rsidR="00637032" w:rsidRPr="0078481B">
        <w:rPr>
          <w:rFonts w:asciiTheme="majorHAnsi" w:hAnsiTheme="majorHAnsi" w:cstheme="majorHAnsi"/>
        </w:rPr>
        <w:t>, which had</w:t>
      </w:r>
      <w:r w:rsidR="00A43915" w:rsidRPr="0078481B">
        <w:rPr>
          <w:rFonts w:asciiTheme="majorHAnsi" w:hAnsiTheme="majorHAnsi" w:cstheme="majorHAnsi"/>
        </w:rPr>
        <w:t>, up to that point, included a carer element</w:t>
      </w:r>
      <w:r w:rsidR="009E664A" w:rsidRPr="0078481B">
        <w:rPr>
          <w:rFonts w:asciiTheme="majorHAnsi" w:hAnsiTheme="majorHAnsi" w:cstheme="majorHAnsi"/>
        </w:rPr>
        <w:t xml:space="preserve"> (</w:t>
      </w:r>
      <w:r w:rsidR="0011389B">
        <w:rPr>
          <w:rFonts w:asciiTheme="majorHAnsi" w:hAnsiTheme="majorHAnsi" w:cstheme="majorHAnsi"/>
        </w:rPr>
        <w:t>“</w:t>
      </w:r>
      <w:r w:rsidR="009E664A" w:rsidRPr="0078481B">
        <w:rPr>
          <w:rFonts w:asciiTheme="majorHAnsi" w:hAnsiTheme="majorHAnsi" w:cstheme="majorHAnsi"/>
          <w:b/>
          <w:bCs/>
        </w:rPr>
        <w:t>CE</w:t>
      </w:r>
      <w:r w:rsidR="0011389B">
        <w:rPr>
          <w:rFonts w:asciiTheme="majorHAnsi" w:hAnsiTheme="majorHAnsi" w:cstheme="majorHAnsi"/>
          <w:b/>
          <w:bCs/>
        </w:rPr>
        <w:t>”</w:t>
      </w:r>
      <w:r w:rsidR="009E664A" w:rsidRPr="0078481B">
        <w:rPr>
          <w:rFonts w:asciiTheme="majorHAnsi" w:hAnsiTheme="majorHAnsi" w:cstheme="majorHAnsi"/>
        </w:rPr>
        <w:t>)</w:t>
      </w:r>
      <w:r w:rsidR="008D1A51" w:rsidRPr="0078481B">
        <w:rPr>
          <w:rFonts w:asciiTheme="majorHAnsi" w:hAnsiTheme="majorHAnsi" w:cstheme="majorHAnsi"/>
        </w:rPr>
        <w:t>.  That supersession</w:t>
      </w:r>
      <w:r w:rsidR="00B123D1" w:rsidRPr="0078481B">
        <w:rPr>
          <w:rFonts w:asciiTheme="majorHAnsi" w:hAnsiTheme="majorHAnsi" w:cstheme="majorHAnsi"/>
        </w:rPr>
        <w:t xml:space="preserve"> was made up of a determination that</w:t>
      </w:r>
      <w:r w:rsidR="006D6164" w:rsidRPr="0078481B">
        <w:rPr>
          <w:rFonts w:asciiTheme="majorHAnsi" w:hAnsiTheme="majorHAnsi" w:cstheme="majorHAnsi"/>
        </w:rPr>
        <w:t xml:space="preserve"> [</w:t>
      </w:r>
      <w:r w:rsidR="0011389B" w:rsidRPr="0011389B">
        <w:rPr>
          <w:rFonts w:asciiTheme="majorHAnsi" w:hAnsiTheme="majorHAnsi" w:cstheme="majorHAnsi"/>
          <w:color w:val="EE0000"/>
        </w:rPr>
        <w:t>his/her</w:t>
      </w:r>
      <w:r w:rsidR="006D6164" w:rsidRPr="0078481B">
        <w:rPr>
          <w:rFonts w:asciiTheme="majorHAnsi" w:hAnsiTheme="majorHAnsi" w:cstheme="majorHAnsi"/>
        </w:rPr>
        <w:t xml:space="preserve">] </w:t>
      </w:r>
      <w:r w:rsidR="008D1A51" w:rsidRPr="0078481B">
        <w:rPr>
          <w:rFonts w:asciiTheme="majorHAnsi" w:hAnsiTheme="majorHAnsi" w:cstheme="majorHAnsi"/>
        </w:rPr>
        <w:t>transitional element</w:t>
      </w:r>
      <w:r w:rsidR="00B123D1" w:rsidRPr="0078481B">
        <w:rPr>
          <w:rFonts w:asciiTheme="majorHAnsi" w:hAnsiTheme="majorHAnsi" w:cstheme="majorHAnsi"/>
        </w:rPr>
        <w:t xml:space="preserve"> </w:t>
      </w:r>
      <w:r w:rsidR="00F64294" w:rsidRPr="0078481B">
        <w:rPr>
          <w:rFonts w:asciiTheme="majorHAnsi" w:hAnsiTheme="majorHAnsi" w:cstheme="majorHAnsi"/>
        </w:rPr>
        <w:t>(</w:t>
      </w:r>
      <w:r w:rsidR="0011389B">
        <w:rPr>
          <w:rFonts w:asciiTheme="majorHAnsi" w:hAnsiTheme="majorHAnsi" w:cstheme="majorHAnsi"/>
        </w:rPr>
        <w:t>“</w:t>
      </w:r>
      <w:r w:rsidR="00F64294" w:rsidRPr="0078481B">
        <w:rPr>
          <w:rFonts w:asciiTheme="majorHAnsi" w:hAnsiTheme="majorHAnsi" w:cstheme="majorHAnsi"/>
          <w:b/>
          <w:bCs/>
        </w:rPr>
        <w:t>TE</w:t>
      </w:r>
      <w:r w:rsidR="0011389B">
        <w:rPr>
          <w:rFonts w:asciiTheme="majorHAnsi" w:hAnsiTheme="majorHAnsi" w:cstheme="majorHAnsi"/>
          <w:b/>
          <w:bCs/>
        </w:rPr>
        <w:t>”</w:t>
      </w:r>
      <w:r w:rsidR="00F64294" w:rsidRPr="0078481B">
        <w:rPr>
          <w:rFonts w:asciiTheme="majorHAnsi" w:hAnsiTheme="majorHAnsi" w:cstheme="majorHAnsi"/>
        </w:rPr>
        <w:t xml:space="preserve">) </w:t>
      </w:r>
      <w:r w:rsidR="00B123D1" w:rsidRPr="0078481B">
        <w:rPr>
          <w:rFonts w:asciiTheme="majorHAnsi" w:hAnsiTheme="majorHAnsi" w:cstheme="majorHAnsi"/>
        </w:rPr>
        <w:t>was to ‘erode’ by an amount equivalent to the limited capability for work related activity (</w:t>
      </w:r>
      <w:r w:rsidR="0011389B">
        <w:rPr>
          <w:rFonts w:asciiTheme="majorHAnsi" w:hAnsiTheme="majorHAnsi" w:cstheme="majorHAnsi"/>
        </w:rPr>
        <w:t>“</w:t>
      </w:r>
      <w:r w:rsidR="00B123D1" w:rsidRPr="0078481B">
        <w:rPr>
          <w:rFonts w:asciiTheme="majorHAnsi" w:hAnsiTheme="majorHAnsi" w:cstheme="majorHAnsi"/>
          <w:b/>
          <w:bCs/>
        </w:rPr>
        <w:t>LCWRA</w:t>
      </w:r>
      <w:r w:rsidR="0011389B">
        <w:rPr>
          <w:rFonts w:asciiTheme="majorHAnsi" w:hAnsiTheme="majorHAnsi" w:cstheme="majorHAnsi"/>
          <w:b/>
          <w:bCs/>
        </w:rPr>
        <w:t>”</w:t>
      </w:r>
      <w:r w:rsidR="00B123D1" w:rsidRPr="0078481B">
        <w:rPr>
          <w:rFonts w:asciiTheme="majorHAnsi" w:hAnsiTheme="majorHAnsi" w:cstheme="majorHAnsi"/>
        </w:rPr>
        <w:t>) element</w:t>
      </w:r>
      <w:r w:rsidR="00A94C61" w:rsidRPr="0078481B">
        <w:rPr>
          <w:rFonts w:asciiTheme="majorHAnsi" w:hAnsiTheme="majorHAnsi" w:cstheme="majorHAnsi"/>
        </w:rPr>
        <w:t>.</w:t>
      </w:r>
      <w:r w:rsidR="00A93073" w:rsidRPr="0078481B">
        <w:rPr>
          <w:rFonts w:asciiTheme="majorHAnsi" w:hAnsiTheme="majorHAnsi" w:cstheme="majorHAnsi"/>
        </w:rPr>
        <w:t xml:space="preserve">  </w:t>
      </w:r>
    </w:p>
    <w:p w14:paraId="0FB8B81D" w14:textId="3680BC61" w:rsidR="00603545" w:rsidRPr="0078481B" w:rsidRDefault="00A93073" w:rsidP="00E77A14">
      <w:pPr>
        <w:numPr>
          <w:ilvl w:val="0"/>
          <w:numId w:val="1"/>
        </w:numPr>
        <w:spacing w:before="120" w:line="360" w:lineRule="auto"/>
        <w:ind w:left="357" w:hanging="357"/>
        <w:jc w:val="both"/>
        <w:rPr>
          <w:rFonts w:asciiTheme="majorHAnsi" w:hAnsiTheme="majorHAnsi" w:cstheme="majorHAnsi"/>
        </w:rPr>
      </w:pPr>
      <w:r w:rsidRPr="0078481B">
        <w:rPr>
          <w:rFonts w:asciiTheme="majorHAnsi" w:hAnsiTheme="majorHAnsi" w:cstheme="majorHAnsi"/>
        </w:rPr>
        <w:t>The First-tier Tribunal (</w:t>
      </w:r>
      <w:r w:rsidR="0011389B">
        <w:rPr>
          <w:rFonts w:asciiTheme="majorHAnsi" w:hAnsiTheme="majorHAnsi" w:cstheme="majorHAnsi"/>
        </w:rPr>
        <w:t>“</w:t>
      </w:r>
      <w:r w:rsidRPr="0078481B">
        <w:rPr>
          <w:rFonts w:asciiTheme="majorHAnsi" w:hAnsiTheme="majorHAnsi" w:cstheme="majorHAnsi"/>
          <w:b/>
          <w:bCs/>
        </w:rPr>
        <w:t>FTT</w:t>
      </w:r>
      <w:r w:rsidR="0011389B">
        <w:rPr>
          <w:rFonts w:asciiTheme="majorHAnsi" w:hAnsiTheme="majorHAnsi" w:cstheme="majorHAnsi"/>
          <w:b/>
          <w:bCs/>
        </w:rPr>
        <w:t>”</w:t>
      </w:r>
      <w:r w:rsidRPr="0078481B">
        <w:rPr>
          <w:rFonts w:asciiTheme="majorHAnsi" w:hAnsiTheme="majorHAnsi" w:cstheme="majorHAnsi"/>
        </w:rPr>
        <w:t>) must</w:t>
      </w:r>
      <w:r w:rsidR="00B307FB" w:rsidRPr="0078481B">
        <w:rPr>
          <w:rFonts w:asciiTheme="majorHAnsi" w:hAnsiTheme="majorHAnsi" w:cstheme="majorHAnsi"/>
        </w:rPr>
        <w:t xml:space="preserve">, applying the case of </w:t>
      </w:r>
      <w:r w:rsidR="00AB49A5" w:rsidRPr="0078481B">
        <w:rPr>
          <w:rFonts w:asciiTheme="majorHAnsi" w:hAnsiTheme="majorHAnsi" w:cstheme="majorHAnsi"/>
          <w:i/>
          <w:iCs/>
        </w:rPr>
        <w:t>SSWP v MJ</w:t>
      </w:r>
      <w:r w:rsidR="00B307FB" w:rsidRPr="0078481B">
        <w:rPr>
          <w:rFonts w:asciiTheme="majorHAnsi" w:hAnsiTheme="majorHAnsi" w:cstheme="majorHAnsi"/>
        </w:rPr>
        <w:t xml:space="preserve"> [2025]</w:t>
      </w:r>
      <w:r w:rsidR="00AB49A5" w:rsidRPr="0078481B">
        <w:rPr>
          <w:rFonts w:asciiTheme="majorHAnsi" w:hAnsiTheme="majorHAnsi" w:cstheme="majorHAnsi"/>
        </w:rPr>
        <w:t xml:space="preserve"> UKUT 35 (AAC)</w:t>
      </w:r>
      <w:r w:rsidR="00F33C9C" w:rsidRPr="0078481B">
        <w:rPr>
          <w:rFonts w:asciiTheme="majorHAnsi" w:hAnsiTheme="majorHAnsi" w:cstheme="majorHAnsi"/>
        </w:rPr>
        <w:t xml:space="preserve">, decide that the </w:t>
      </w:r>
      <w:r w:rsidR="00637032" w:rsidRPr="0078481B">
        <w:rPr>
          <w:rFonts w:asciiTheme="majorHAnsi" w:hAnsiTheme="majorHAnsi" w:cstheme="majorHAnsi"/>
        </w:rPr>
        <w:t>TE is instead to erode only by the difference between the LCWRA and carer elements.</w:t>
      </w:r>
    </w:p>
    <w:p w14:paraId="492A6FC2" w14:textId="77777777" w:rsidR="00EA01D7" w:rsidRPr="0078481B" w:rsidRDefault="00EA01D7" w:rsidP="00E77A14">
      <w:pPr>
        <w:spacing w:before="120" w:line="360" w:lineRule="auto"/>
        <w:ind w:left="360"/>
        <w:jc w:val="both"/>
        <w:rPr>
          <w:rFonts w:asciiTheme="majorHAnsi" w:hAnsiTheme="majorHAnsi" w:cstheme="majorHAnsi"/>
          <w:b/>
          <w:bCs/>
          <w:u w:val="single"/>
        </w:rPr>
      </w:pPr>
    </w:p>
    <w:p w14:paraId="74DD700A" w14:textId="77777777" w:rsidR="00CD1EE5" w:rsidRPr="0078481B" w:rsidRDefault="00CD1EE5" w:rsidP="00E77A14">
      <w:pPr>
        <w:spacing w:before="120" w:line="360" w:lineRule="auto"/>
        <w:jc w:val="both"/>
        <w:rPr>
          <w:rFonts w:asciiTheme="majorHAnsi" w:hAnsiTheme="majorHAnsi" w:cstheme="majorHAnsi"/>
          <w:b/>
          <w:bCs/>
          <w:iCs/>
          <w:u w:val="single"/>
        </w:rPr>
      </w:pPr>
      <w:r w:rsidRPr="0078481B">
        <w:rPr>
          <w:rFonts w:asciiTheme="majorHAnsi" w:hAnsiTheme="majorHAnsi" w:cstheme="majorHAnsi"/>
          <w:b/>
          <w:bCs/>
          <w:iCs/>
          <w:u w:val="single"/>
        </w:rPr>
        <w:t>Relevant Facts</w:t>
      </w:r>
    </w:p>
    <w:p w14:paraId="46F7C745" w14:textId="625CFCBD" w:rsidR="006C2115" w:rsidRPr="0078481B" w:rsidRDefault="00A7226F" w:rsidP="00E77A14">
      <w:pPr>
        <w:numPr>
          <w:ilvl w:val="0"/>
          <w:numId w:val="1"/>
        </w:numPr>
        <w:spacing w:before="120" w:line="360" w:lineRule="auto"/>
        <w:jc w:val="both"/>
        <w:rPr>
          <w:rFonts w:asciiTheme="majorHAnsi" w:hAnsiTheme="majorHAnsi" w:cstheme="majorHAnsi"/>
        </w:rPr>
      </w:pPr>
      <w:r w:rsidRPr="0078481B">
        <w:rPr>
          <w:rFonts w:asciiTheme="majorHAnsi" w:hAnsiTheme="majorHAnsi" w:cstheme="majorHAnsi"/>
        </w:rPr>
        <w:t>[</w:t>
      </w:r>
      <w:r w:rsidR="0011389B" w:rsidRPr="0011389B">
        <w:rPr>
          <w:rFonts w:asciiTheme="majorHAnsi" w:hAnsiTheme="majorHAnsi" w:cstheme="majorHAnsi"/>
          <w:color w:val="EE0000"/>
        </w:rPr>
        <w:t>Date migration notice was issued xx/xx/xx</w:t>
      </w:r>
      <w:r w:rsidRPr="0078481B">
        <w:rPr>
          <w:rFonts w:asciiTheme="majorHAnsi" w:hAnsiTheme="majorHAnsi" w:cstheme="majorHAnsi"/>
        </w:rPr>
        <w:t>]</w:t>
      </w:r>
      <w:r w:rsidR="00F15560" w:rsidRPr="0078481B">
        <w:rPr>
          <w:rFonts w:asciiTheme="majorHAnsi" w:hAnsiTheme="majorHAnsi" w:cstheme="majorHAnsi"/>
        </w:rPr>
        <w:t xml:space="preserve"> – </w:t>
      </w:r>
      <w:r w:rsidR="00CE2963" w:rsidRPr="0078481B">
        <w:rPr>
          <w:rFonts w:asciiTheme="majorHAnsi" w:hAnsiTheme="majorHAnsi" w:cstheme="majorHAnsi"/>
        </w:rPr>
        <w:t>[</w:t>
      </w:r>
      <w:r w:rsidR="0011389B" w:rsidRPr="0011389B">
        <w:rPr>
          <w:rFonts w:asciiTheme="majorHAnsi" w:hAnsiTheme="majorHAnsi" w:cstheme="majorHAnsi"/>
          <w:color w:val="EE0000"/>
        </w:rPr>
        <w:t>Title. Last Name</w:t>
      </w:r>
      <w:r w:rsidR="00CE2963" w:rsidRPr="0078481B">
        <w:rPr>
          <w:rFonts w:asciiTheme="majorHAnsi" w:hAnsiTheme="majorHAnsi" w:cstheme="majorHAnsi"/>
        </w:rPr>
        <w:t>]</w:t>
      </w:r>
      <w:r w:rsidR="00F15560" w:rsidRPr="0078481B">
        <w:rPr>
          <w:rFonts w:asciiTheme="majorHAnsi" w:hAnsiTheme="majorHAnsi" w:cstheme="majorHAnsi"/>
        </w:rPr>
        <w:t xml:space="preserve"> was issued with a managed migration notice informing </w:t>
      </w:r>
      <w:r w:rsidR="0011389B">
        <w:rPr>
          <w:rFonts w:asciiTheme="majorHAnsi" w:hAnsiTheme="majorHAnsi" w:cstheme="majorHAnsi"/>
        </w:rPr>
        <w:t>[</w:t>
      </w:r>
      <w:r w:rsidR="0011389B" w:rsidRPr="0011389B">
        <w:rPr>
          <w:rFonts w:asciiTheme="majorHAnsi" w:hAnsiTheme="majorHAnsi" w:cstheme="majorHAnsi"/>
          <w:color w:val="EE0000"/>
        </w:rPr>
        <w:t>her/</w:t>
      </w:r>
      <w:r w:rsidR="00F15560" w:rsidRPr="0011389B">
        <w:rPr>
          <w:rFonts w:asciiTheme="majorHAnsi" w:hAnsiTheme="majorHAnsi" w:cstheme="majorHAnsi"/>
          <w:color w:val="EE0000"/>
        </w:rPr>
        <w:t>him</w:t>
      </w:r>
      <w:r w:rsidR="0011389B">
        <w:rPr>
          <w:rFonts w:asciiTheme="majorHAnsi" w:hAnsiTheme="majorHAnsi" w:cstheme="majorHAnsi"/>
        </w:rPr>
        <w:t>]</w:t>
      </w:r>
      <w:r w:rsidR="00F15560" w:rsidRPr="0078481B">
        <w:rPr>
          <w:rFonts w:asciiTheme="majorHAnsi" w:hAnsiTheme="majorHAnsi" w:cstheme="majorHAnsi"/>
        </w:rPr>
        <w:t xml:space="preserve"> that all ‘legacy’ benefits to which</w:t>
      </w:r>
      <w:r w:rsidR="006D6164" w:rsidRPr="0078481B">
        <w:rPr>
          <w:rFonts w:asciiTheme="majorHAnsi" w:hAnsiTheme="majorHAnsi" w:cstheme="majorHAnsi"/>
        </w:rPr>
        <w:t xml:space="preserve"> [</w:t>
      </w:r>
      <w:r w:rsidR="0011389B" w:rsidRPr="0011389B">
        <w:rPr>
          <w:rFonts w:asciiTheme="majorHAnsi" w:hAnsiTheme="majorHAnsi" w:cstheme="majorHAnsi"/>
          <w:color w:val="EE0000"/>
        </w:rPr>
        <w:t>s/he</w:t>
      </w:r>
      <w:r w:rsidR="0011389B">
        <w:rPr>
          <w:rFonts w:asciiTheme="majorHAnsi" w:hAnsiTheme="majorHAnsi" w:cstheme="majorHAnsi"/>
        </w:rPr>
        <w:t>] w</w:t>
      </w:r>
      <w:r w:rsidR="00F15560" w:rsidRPr="0078481B">
        <w:rPr>
          <w:rFonts w:asciiTheme="majorHAnsi" w:hAnsiTheme="majorHAnsi" w:cstheme="majorHAnsi"/>
        </w:rPr>
        <w:t xml:space="preserve">as entitled </w:t>
      </w:r>
      <w:r w:rsidR="008327AC" w:rsidRPr="0078481B">
        <w:rPr>
          <w:rFonts w:asciiTheme="majorHAnsi" w:hAnsiTheme="majorHAnsi" w:cstheme="majorHAnsi"/>
        </w:rPr>
        <w:t>were due to end and that</w:t>
      </w:r>
      <w:r w:rsidR="006D6164" w:rsidRPr="0078481B">
        <w:rPr>
          <w:rFonts w:asciiTheme="majorHAnsi" w:hAnsiTheme="majorHAnsi" w:cstheme="majorHAnsi"/>
        </w:rPr>
        <w:t xml:space="preserve"> [</w:t>
      </w:r>
      <w:r w:rsidR="003350F2" w:rsidRPr="00C67F01">
        <w:rPr>
          <w:rFonts w:asciiTheme="majorHAnsi" w:hAnsiTheme="majorHAnsi" w:cstheme="majorHAnsi"/>
          <w:color w:val="EE0000"/>
        </w:rPr>
        <w:t>s/he</w:t>
      </w:r>
      <w:r w:rsidR="006D6164" w:rsidRPr="0078481B">
        <w:rPr>
          <w:rFonts w:asciiTheme="majorHAnsi" w:hAnsiTheme="majorHAnsi" w:cstheme="majorHAnsi"/>
        </w:rPr>
        <w:t xml:space="preserve">] </w:t>
      </w:r>
      <w:r w:rsidR="008327AC" w:rsidRPr="0078481B">
        <w:rPr>
          <w:rFonts w:asciiTheme="majorHAnsi" w:hAnsiTheme="majorHAnsi" w:cstheme="majorHAnsi"/>
        </w:rPr>
        <w:t>must make a claim for UC if</w:t>
      </w:r>
      <w:r w:rsidR="006D6164" w:rsidRPr="0078481B">
        <w:rPr>
          <w:rFonts w:asciiTheme="majorHAnsi" w:hAnsiTheme="majorHAnsi" w:cstheme="majorHAnsi"/>
        </w:rPr>
        <w:t xml:space="preserve"> [</w:t>
      </w:r>
      <w:r w:rsidR="0011389B" w:rsidRPr="0011389B">
        <w:rPr>
          <w:rFonts w:asciiTheme="majorHAnsi" w:hAnsiTheme="majorHAnsi" w:cstheme="majorHAnsi"/>
          <w:color w:val="EE0000"/>
        </w:rPr>
        <w:t>s/he</w:t>
      </w:r>
      <w:r w:rsidR="006D6164" w:rsidRPr="0078481B">
        <w:rPr>
          <w:rFonts w:asciiTheme="majorHAnsi" w:hAnsiTheme="majorHAnsi" w:cstheme="majorHAnsi"/>
        </w:rPr>
        <w:t xml:space="preserve">] </w:t>
      </w:r>
      <w:r w:rsidR="008327AC" w:rsidRPr="0078481B">
        <w:rPr>
          <w:rFonts w:asciiTheme="majorHAnsi" w:hAnsiTheme="majorHAnsi" w:cstheme="majorHAnsi"/>
        </w:rPr>
        <w:t>wished to continue to receive social security benefit</w:t>
      </w:r>
      <w:r w:rsidR="00EA01D7" w:rsidRPr="0078481B">
        <w:rPr>
          <w:rFonts w:asciiTheme="majorHAnsi" w:hAnsiTheme="majorHAnsi" w:cstheme="majorHAnsi"/>
        </w:rPr>
        <w:t>.</w:t>
      </w:r>
    </w:p>
    <w:p w14:paraId="0D4ADD00" w14:textId="67A052D9" w:rsidR="00870DA6" w:rsidRPr="0078481B" w:rsidRDefault="00C70C27" w:rsidP="00E77A14">
      <w:pPr>
        <w:numPr>
          <w:ilvl w:val="0"/>
          <w:numId w:val="1"/>
        </w:numPr>
        <w:spacing w:before="120" w:line="360" w:lineRule="auto"/>
        <w:jc w:val="both"/>
        <w:rPr>
          <w:rFonts w:asciiTheme="majorHAnsi" w:hAnsiTheme="majorHAnsi" w:cstheme="majorHAnsi"/>
        </w:rPr>
      </w:pPr>
      <w:r w:rsidRPr="0078481B">
        <w:rPr>
          <w:rFonts w:asciiTheme="majorHAnsi" w:hAnsiTheme="majorHAnsi" w:cstheme="majorHAnsi"/>
        </w:rPr>
        <w:t>[</w:t>
      </w:r>
      <w:r w:rsidR="0011389B" w:rsidRPr="0011389B">
        <w:rPr>
          <w:rFonts w:asciiTheme="majorHAnsi" w:hAnsiTheme="majorHAnsi" w:cstheme="majorHAnsi"/>
          <w:color w:val="EE0000"/>
        </w:rPr>
        <w:t xml:space="preserve">Date </w:t>
      </w:r>
      <w:r w:rsidR="0011389B">
        <w:rPr>
          <w:rFonts w:asciiTheme="majorHAnsi" w:hAnsiTheme="majorHAnsi" w:cstheme="majorHAnsi"/>
          <w:color w:val="EE0000"/>
        </w:rPr>
        <w:t>o</w:t>
      </w:r>
      <w:r w:rsidR="0011389B" w:rsidRPr="0011389B">
        <w:rPr>
          <w:rFonts w:asciiTheme="majorHAnsi" w:hAnsiTheme="majorHAnsi" w:cstheme="majorHAnsi"/>
          <w:color w:val="EE0000"/>
        </w:rPr>
        <w:t>f U</w:t>
      </w:r>
      <w:r w:rsidR="0011389B">
        <w:rPr>
          <w:rFonts w:asciiTheme="majorHAnsi" w:hAnsiTheme="majorHAnsi" w:cstheme="majorHAnsi"/>
          <w:color w:val="EE0000"/>
        </w:rPr>
        <w:t>C</w:t>
      </w:r>
      <w:r w:rsidR="0011389B" w:rsidRPr="0011389B">
        <w:rPr>
          <w:rFonts w:asciiTheme="majorHAnsi" w:hAnsiTheme="majorHAnsi" w:cstheme="majorHAnsi"/>
          <w:color w:val="EE0000"/>
        </w:rPr>
        <w:t xml:space="preserve"> </w:t>
      </w:r>
      <w:r w:rsidR="0011389B">
        <w:rPr>
          <w:rFonts w:asciiTheme="majorHAnsi" w:hAnsiTheme="majorHAnsi" w:cstheme="majorHAnsi"/>
          <w:color w:val="EE0000"/>
        </w:rPr>
        <w:t>c</w:t>
      </w:r>
      <w:r w:rsidR="0011389B" w:rsidRPr="0011389B">
        <w:rPr>
          <w:rFonts w:asciiTheme="majorHAnsi" w:hAnsiTheme="majorHAnsi" w:cstheme="majorHAnsi"/>
          <w:color w:val="EE0000"/>
        </w:rPr>
        <w:t>laim</w:t>
      </w:r>
      <w:r w:rsidR="0011389B">
        <w:rPr>
          <w:rFonts w:asciiTheme="majorHAnsi" w:hAnsiTheme="majorHAnsi" w:cstheme="majorHAnsi"/>
          <w:color w:val="EE0000"/>
        </w:rPr>
        <w:t xml:space="preserve"> xx/xx/xx</w:t>
      </w:r>
      <w:r w:rsidRPr="0078481B">
        <w:rPr>
          <w:rFonts w:asciiTheme="majorHAnsi" w:hAnsiTheme="majorHAnsi" w:cstheme="majorHAnsi"/>
        </w:rPr>
        <w:t>]</w:t>
      </w:r>
      <w:r w:rsidR="00870DA6" w:rsidRPr="0078481B">
        <w:rPr>
          <w:rFonts w:asciiTheme="majorHAnsi" w:hAnsiTheme="majorHAnsi" w:cstheme="majorHAnsi"/>
        </w:rPr>
        <w:t xml:space="preserve"> – </w:t>
      </w:r>
      <w:r w:rsidR="00CE2963" w:rsidRPr="0078481B">
        <w:rPr>
          <w:rFonts w:asciiTheme="majorHAnsi" w:hAnsiTheme="majorHAnsi" w:cstheme="majorHAnsi"/>
        </w:rPr>
        <w:t>[</w:t>
      </w:r>
      <w:r w:rsidR="0011389B" w:rsidRPr="0011389B">
        <w:rPr>
          <w:rFonts w:asciiTheme="majorHAnsi" w:hAnsiTheme="majorHAnsi" w:cstheme="majorHAnsi"/>
          <w:color w:val="EE0000"/>
        </w:rPr>
        <w:t>Title. Last Name</w:t>
      </w:r>
      <w:r w:rsidR="00CE2963" w:rsidRPr="0078481B">
        <w:rPr>
          <w:rFonts w:asciiTheme="majorHAnsi" w:hAnsiTheme="majorHAnsi" w:cstheme="majorHAnsi"/>
        </w:rPr>
        <w:t>]</w:t>
      </w:r>
      <w:r w:rsidR="00870DA6" w:rsidRPr="0078481B">
        <w:rPr>
          <w:rFonts w:asciiTheme="majorHAnsi" w:hAnsiTheme="majorHAnsi" w:cstheme="majorHAnsi"/>
        </w:rPr>
        <w:t xml:space="preserve"> claimed UC.</w:t>
      </w:r>
      <w:r w:rsidR="0061775B" w:rsidRPr="0078481B">
        <w:rPr>
          <w:rFonts w:asciiTheme="majorHAnsi" w:hAnsiTheme="majorHAnsi" w:cstheme="majorHAnsi"/>
        </w:rPr>
        <w:t xml:space="preserve"> </w:t>
      </w:r>
      <w:r w:rsidR="006D6164" w:rsidRPr="0078481B">
        <w:rPr>
          <w:rFonts w:asciiTheme="majorHAnsi" w:hAnsiTheme="majorHAnsi" w:cstheme="majorHAnsi"/>
        </w:rPr>
        <w:t xml:space="preserve"> [</w:t>
      </w:r>
      <w:r w:rsidR="0011389B" w:rsidRPr="0011389B">
        <w:rPr>
          <w:rFonts w:asciiTheme="majorHAnsi" w:hAnsiTheme="majorHAnsi" w:cstheme="majorHAnsi"/>
          <w:color w:val="EE0000"/>
        </w:rPr>
        <w:t>s/he</w:t>
      </w:r>
      <w:r w:rsidR="0011389B">
        <w:rPr>
          <w:rFonts w:asciiTheme="majorHAnsi" w:hAnsiTheme="majorHAnsi" w:cstheme="majorHAnsi"/>
        </w:rPr>
        <w:t>]</w:t>
      </w:r>
      <w:r w:rsidR="006D6164" w:rsidRPr="0078481B">
        <w:rPr>
          <w:rFonts w:asciiTheme="majorHAnsi" w:hAnsiTheme="majorHAnsi" w:cstheme="majorHAnsi"/>
        </w:rPr>
        <w:t xml:space="preserve"> </w:t>
      </w:r>
      <w:r w:rsidR="0061775B" w:rsidRPr="0078481B">
        <w:rPr>
          <w:rFonts w:asciiTheme="majorHAnsi" w:hAnsiTheme="majorHAnsi" w:cstheme="majorHAnsi"/>
        </w:rPr>
        <w:t>declared that</w:t>
      </w:r>
      <w:r w:rsidR="006D6164" w:rsidRPr="0078481B">
        <w:rPr>
          <w:rFonts w:asciiTheme="majorHAnsi" w:hAnsiTheme="majorHAnsi" w:cstheme="majorHAnsi"/>
        </w:rPr>
        <w:t xml:space="preserve"> [</w:t>
      </w:r>
      <w:r w:rsidR="0011389B" w:rsidRPr="0011389B">
        <w:rPr>
          <w:rFonts w:asciiTheme="majorHAnsi" w:hAnsiTheme="majorHAnsi" w:cstheme="majorHAnsi"/>
          <w:color w:val="EE0000"/>
        </w:rPr>
        <w:t>her/his</w:t>
      </w:r>
      <w:r w:rsidR="006D6164" w:rsidRPr="0078481B">
        <w:rPr>
          <w:rFonts w:asciiTheme="majorHAnsi" w:hAnsiTheme="majorHAnsi" w:cstheme="majorHAnsi"/>
        </w:rPr>
        <w:t xml:space="preserve">] </w:t>
      </w:r>
      <w:r w:rsidR="0061775B" w:rsidRPr="0078481B">
        <w:rPr>
          <w:rFonts w:asciiTheme="majorHAnsi" w:hAnsiTheme="majorHAnsi" w:cstheme="majorHAnsi"/>
        </w:rPr>
        <w:t xml:space="preserve">health conditions </w:t>
      </w:r>
      <w:r w:rsidR="003C57F0" w:rsidRPr="0078481B">
        <w:rPr>
          <w:rFonts w:asciiTheme="majorHAnsi" w:hAnsiTheme="majorHAnsi" w:cstheme="majorHAnsi"/>
        </w:rPr>
        <w:t>restricted</w:t>
      </w:r>
      <w:r w:rsidR="006D6164" w:rsidRPr="0078481B">
        <w:rPr>
          <w:rFonts w:asciiTheme="majorHAnsi" w:hAnsiTheme="majorHAnsi" w:cstheme="majorHAnsi"/>
        </w:rPr>
        <w:t xml:space="preserve"> [</w:t>
      </w:r>
      <w:r w:rsidR="0011389B" w:rsidRPr="0011389B">
        <w:rPr>
          <w:rFonts w:asciiTheme="majorHAnsi" w:hAnsiTheme="majorHAnsi" w:cstheme="majorHAnsi"/>
          <w:color w:val="EE0000"/>
        </w:rPr>
        <w:t>her/his</w:t>
      </w:r>
      <w:r w:rsidR="006D6164" w:rsidRPr="0078481B">
        <w:rPr>
          <w:rFonts w:asciiTheme="majorHAnsi" w:hAnsiTheme="majorHAnsi" w:cstheme="majorHAnsi"/>
        </w:rPr>
        <w:t xml:space="preserve">] </w:t>
      </w:r>
      <w:r w:rsidR="003C57F0" w:rsidRPr="0078481B">
        <w:rPr>
          <w:rFonts w:asciiTheme="majorHAnsi" w:hAnsiTheme="majorHAnsi" w:cstheme="majorHAnsi"/>
        </w:rPr>
        <w:t xml:space="preserve">ability to work, the SSWP referred </w:t>
      </w:r>
      <w:r w:rsidR="0011389B">
        <w:rPr>
          <w:rFonts w:asciiTheme="majorHAnsi" w:hAnsiTheme="majorHAnsi" w:cstheme="majorHAnsi"/>
        </w:rPr>
        <w:t>[</w:t>
      </w:r>
      <w:r w:rsidR="0011389B" w:rsidRPr="0011389B">
        <w:rPr>
          <w:rFonts w:asciiTheme="majorHAnsi" w:hAnsiTheme="majorHAnsi" w:cstheme="majorHAnsi"/>
          <w:color w:val="EE0000"/>
        </w:rPr>
        <w:t>her/</w:t>
      </w:r>
      <w:r w:rsidR="003C57F0" w:rsidRPr="0011389B">
        <w:rPr>
          <w:rFonts w:asciiTheme="majorHAnsi" w:hAnsiTheme="majorHAnsi" w:cstheme="majorHAnsi"/>
          <w:color w:val="EE0000"/>
        </w:rPr>
        <w:t>him</w:t>
      </w:r>
      <w:r w:rsidR="0011389B">
        <w:rPr>
          <w:rFonts w:asciiTheme="majorHAnsi" w:hAnsiTheme="majorHAnsi" w:cstheme="majorHAnsi"/>
        </w:rPr>
        <w:t>]</w:t>
      </w:r>
      <w:r w:rsidR="003C57F0" w:rsidRPr="0078481B">
        <w:rPr>
          <w:rFonts w:asciiTheme="majorHAnsi" w:hAnsiTheme="majorHAnsi" w:cstheme="majorHAnsi"/>
        </w:rPr>
        <w:t xml:space="preserve"> for an assessment to determine whether</w:t>
      </w:r>
      <w:r w:rsidR="006D6164" w:rsidRPr="0078481B">
        <w:rPr>
          <w:rFonts w:asciiTheme="majorHAnsi" w:hAnsiTheme="majorHAnsi" w:cstheme="majorHAnsi"/>
        </w:rPr>
        <w:t xml:space="preserve"> [</w:t>
      </w:r>
      <w:r w:rsidR="0011389B" w:rsidRPr="0011389B">
        <w:rPr>
          <w:rFonts w:asciiTheme="majorHAnsi" w:hAnsiTheme="majorHAnsi" w:cstheme="majorHAnsi"/>
          <w:color w:val="EE0000"/>
        </w:rPr>
        <w:t>s/he</w:t>
      </w:r>
      <w:r w:rsidR="006D6164" w:rsidRPr="0078481B">
        <w:rPr>
          <w:rFonts w:asciiTheme="majorHAnsi" w:hAnsiTheme="majorHAnsi" w:cstheme="majorHAnsi"/>
        </w:rPr>
        <w:t xml:space="preserve">] </w:t>
      </w:r>
      <w:r w:rsidR="003C57F0" w:rsidRPr="0078481B">
        <w:rPr>
          <w:rFonts w:asciiTheme="majorHAnsi" w:hAnsiTheme="majorHAnsi" w:cstheme="majorHAnsi"/>
        </w:rPr>
        <w:t>had LCWRA.</w:t>
      </w:r>
    </w:p>
    <w:p w14:paraId="64209D1D" w14:textId="192EF8A5" w:rsidR="00870DA6" w:rsidRPr="0078481B" w:rsidRDefault="0070199B" w:rsidP="00E77A14">
      <w:pPr>
        <w:numPr>
          <w:ilvl w:val="0"/>
          <w:numId w:val="1"/>
        </w:numPr>
        <w:spacing w:before="120" w:line="360" w:lineRule="auto"/>
        <w:jc w:val="both"/>
        <w:rPr>
          <w:rFonts w:asciiTheme="majorHAnsi" w:hAnsiTheme="majorHAnsi" w:cstheme="majorHAnsi"/>
        </w:rPr>
      </w:pPr>
      <w:r w:rsidRPr="0078481B">
        <w:rPr>
          <w:rFonts w:asciiTheme="majorHAnsi" w:hAnsiTheme="majorHAnsi" w:cstheme="majorHAnsi"/>
        </w:rPr>
        <w:t>[</w:t>
      </w:r>
      <w:r w:rsidR="0011389B">
        <w:rPr>
          <w:rFonts w:asciiTheme="majorHAnsi" w:hAnsiTheme="majorHAnsi" w:cstheme="majorHAnsi"/>
          <w:color w:val="EE0000"/>
        </w:rPr>
        <w:t>D</w:t>
      </w:r>
      <w:r w:rsidR="0011389B" w:rsidRPr="0011389B">
        <w:rPr>
          <w:rFonts w:asciiTheme="majorHAnsi" w:hAnsiTheme="majorHAnsi" w:cstheme="majorHAnsi"/>
          <w:color w:val="EE0000"/>
        </w:rPr>
        <w:t>ate of decision awarding uc, typically soon after the first assessment period</w:t>
      </w:r>
      <w:r w:rsidR="0011389B">
        <w:rPr>
          <w:rFonts w:asciiTheme="majorHAnsi" w:hAnsiTheme="majorHAnsi" w:cstheme="majorHAnsi"/>
          <w:color w:val="EE0000"/>
        </w:rPr>
        <w:t xml:space="preserve"> xx/xx/xx </w:t>
      </w:r>
      <w:r w:rsidRPr="0078481B">
        <w:rPr>
          <w:rFonts w:asciiTheme="majorHAnsi" w:hAnsiTheme="majorHAnsi" w:cstheme="majorHAnsi"/>
        </w:rPr>
        <w:t>]</w:t>
      </w:r>
      <w:r w:rsidR="002B49A3" w:rsidRPr="0078481B">
        <w:rPr>
          <w:rFonts w:asciiTheme="majorHAnsi" w:hAnsiTheme="majorHAnsi" w:cstheme="majorHAnsi"/>
        </w:rPr>
        <w:t xml:space="preserve"> </w:t>
      </w:r>
      <w:r w:rsidR="003463AB" w:rsidRPr="0078481B">
        <w:rPr>
          <w:rFonts w:asciiTheme="majorHAnsi" w:hAnsiTheme="majorHAnsi" w:cstheme="majorHAnsi"/>
        </w:rPr>
        <w:t>–</w:t>
      </w:r>
      <w:r w:rsidR="002B49A3" w:rsidRPr="0078481B">
        <w:rPr>
          <w:rFonts w:asciiTheme="majorHAnsi" w:hAnsiTheme="majorHAnsi" w:cstheme="majorHAnsi"/>
        </w:rPr>
        <w:t xml:space="preserve"> </w:t>
      </w:r>
      <w:r w:rsidR="003463AB" w:rsidRPr="0078481B">
        <w:rPr>
          <w:rFonts w:asciiTheme="majorHAnsi" w:hAnsiTheme="majorHAnsi" w:cstheme="majorHAnsi"/>
        </w:rPr>
        <w:t>The SSWP made an award of UC</w:t>
      </w:r>
      <w:r w:rsidR="0032324C" w:rsidRPr="0078481B">
        <w:rPr>
          <w:rFonts w:asciiTheme="majorHAnsi" w:hAnsiTheme="majorHAnsi" w:cstheme="majorHAnsi"/>
        </w:rPr>
        <w:t xml:space="preserve"> which included a CE and a TE</w:t>
      </w:r>
      <w:r w:rsidR="000529E3" w:rsidRPr="0078481B">
        <w:rPr>
          <w:rFonts w:asciiTheme="majorHAnsi" w:hAnsiTheme="majorHAnsi" w:cstheme="majorHAnsi"/>
        </w:rPr>
        <w:t>.</w:t>
      </w:r>
    </w:p>
    <w:p w14:paraId="38062713" w14:textId="18C2CA75" w:rsidR="00704B9C" w:rsidRPr="0078481B" w:rsidRDefault="00D52B1C" w:rsidP="00E77A14">
      <w:pPr>
        <w:numPr>
          <w:ilvl w:val="0"/>
          <w:numId w:val="1"/>
        </w:numPr>
        <w:spacing w:before="120" w:line="360" w:lineRule="auto"/>
        <w:jc w:val="both"/>
        <w:rPr>
          <w:rFonts w:asciiTheme="majorHAnsi" w:hAnsiTheme="majorHAnsi" w:cstheme="majorHAnsi"/>
        </w:rPr>
      </w:pPr>
      <w:r w:rsidRPr="0078481B">
        <w:rPr>
          <w:rFonts w:asciiTheme="majorHAnsi" w:hAnsiTheme="majorHAnsi" w:cstheme="majorHAnsi"/>
        </w:rPr>
        <w:t>[</w:t>
      </w:r>
      <w:r w:rsidR="0011389B" w:rsidRPr="00C67F01">
        <w:rPr>
          <w:rFonts w:asciiTheme="majorHAnsi" w:hAnsiTheme="majorHAnsi" w:cstheme="majorHAnsi"/>
          <w:color w:val="EE0000"/>
        </w:rPr>
        <w:t>Date of LCWRA determination xx/xx/xx</w:t>
      </w:r>
      <w:r w:rsidRPr="0078481B">
        <w:rPr>
          <w:rFonts w:asciiTheme="majorHAnsi" w:hAnsiTheme="majorHAnsi" w:cstheme="majorHAnsi"/>
        </w:rPr>
        <w:t>]</w:t>
      </w:r>
      <w:r w:rsidR="00704B9C" w:rsidRPr="0078481B">
        <w:rPr>
          <w:rFonts w:asciiTheme="majorHAnsi" w:hAnsiTheme="majorHAnsi" w:cstheme="majorHAnsi"/>
        </w:rPr>
        <w:t xml:space="preserve"> – The SSWP determined that </w:t>
      </w:r>
      <w:r w:rsidR="00CE2963" w:rsidRPr="0078481B">
        <w:rPr>
          <w:rFonts w:asciiTheme="majorHAnsi" w:hAnsiTheme="majorHAnsi" w:cstheme="majorHAnsi"/>
        </w:rPr>
        <w:t>[</w:t>
      </w:r>
      <w:r w:rsidR="0011389B" w:rsidRPr="0011389B">
        <w:rPr>
          <w:rFonts w:asciiTheme="majorHAnsi" w:hAnsiTheme="majorHAnsi" w:cstheme="majorHAnsi"/>
          <w:color w:val="EE0000"/>
        </w:rPr>
        <w:t>Title. Last Name</w:t>
      </w:r>
      <w:r w:rsidR="00CE2963" w:rsidRPr="0078481B">
        <w:rPr>
          <w:rFonts w:asciiTheme="majorHAnsi" w:hAnsiTheme="majorHAnsi" w:cstheme="majorHAnsi"/>
        </w:rPr>
        <w:t>]</w:t>
      </w:r>
      <w:r w:rsidR="00704B9C" w:rsidRPr="0078481B">
        <w:rPr>
          <w:rFonts w:asciiTheme="majorHAnsi" w:hAnsiTheme="majorHAnsi" w:cstheme="majorHAnsi"/>
        </w:rPr>
        <w:t xml:space="preserve"> had LCWRA</w:t>
      </w:r>
      <w:r w:rsidR="00243D32" w:rsidRPr="0078481B">
        <w:rPr>
          <w:rFonts w:asciiTheme="majorHAnsi" w:hAnsiTheme="majorHAnsi" w:cstheme="majorHAnsi"/>
        </w:rPr>
        <w:t>.</w:t>
      </w:r>
    </w:p>
    <w:p w14:paraId="659C664A" w14:textId="50643697" w:rsidR="00744ADD" w:rsidRPr="0078481B" w:rsidRDefault="00456D10" w:rsidP="00E77A14">
      <w:pPr>
        <w:numPr>
          <w:ilvl w:val="0"/>
          <w:numId w:val="1"/>
        </w:numPr>
        <w:spacing w:before="120" w:line="360" w:lineRule="auto"/>
        <w:jc w:val="both"/>
        <w:rPr>
          <w:rFonts w:asciiTheme="majorHAnsi" w:hAnsiTheme="majorHAnsi" w:cstheme="majorHAnsi"/>
        </w:rPr>
      </w:pPr>
      <w:r w:rsidRPr="0078481B">
        <w:rPr>
          <w:rFonts w:asciiTheme="majorHAnsi" w:hAnsiTheme="majorHAnsi" w:cstheme="majorHAnsi"/>
        </w:rPr>
        <w:t>[</w:t>
      </w:r>
      <w:r w:rsidR="000C376C" w:rsidRPr="000C376C">
        <w:rPr>
          <w:rFonts w:asciiTheme="majorHAnsi" w:hAnsiTheme="majorHAnsi" w:cstheme="majorHAnsi"/>
          <w:color w:val="EE0000"/>
        </w:rPr>
        <w:t>D</w:t>
      </w:r>
      <w:r w:rsidR="0011389B" w:rsidRPr="000C376C">
        <w:rPr>
          <w:rFonts w:asciiTheme="majorHAnsi" w:hAnsiTheme="majorHAnsi" w:cstheme="majorHAnsi"/>
          <w:color w:val="EE0000"/>
        </w:rPr>
        <w:t>ate of supersession decision under appeal</w:t>
      </w:r>
      <w:r w:rsidR="000C376C">
        <w:rPr>
          <w:rFonts w:asciiTheme="majorHAnsi" w:hAnsiTheme="majorHAnsi" w:cstheme="majorHAnsi"/>
          <w:color w:val="EE0000"/>
        </w:rPr>
        <w:t xml:space="preserve"> xx/xx/xx</w:t>
      </w:r>
      <w:r w:rsidRPr="0078481B">
        <w:rPr>
          <w:rFonts w:asciiTheme="majorHAnsi" w:hAnsiTheme="majorHAnsi" w:cstheme="majorHAnsi"/>
        </w:rPr>
        <w:t>]</w:t>
      </w:r>
      <w:r w:rsidR="00001775" w:rsidRPr="0078481B">
        <w:rPr>
          <w:rFonts w:asciiTheme="majorHAnsi" w:hAnsiTheme="majorHAnsi" w:cstheme="majorHAnsi"/>
        </w:rPr>
        <w:t xml:space="preserve">– The SSWP superseded </w:t>
      </w:r>
      <w:r w:rsidR="00CE2963" w:rsidRPr="0078481B">
        <w:rPr>
          <w:rFonts w:asciiTheme="majorHAnsi" w:hAnsiTheme="majorHAnsi" w:cstheme="majorHAnsi"/>
        </w:rPr>
        <w:t>[</w:t>
      </w:r>
      <w:r w:rsidR="000C376C" w:rsidRPr="000C376C">
        <w:rPr>
          <w:rFonts w:asciiTheme="majorHAnsi" w:hAnsiTheme="majorHAnsi" w:cstheme="majorHAnsi"/>
          <w:color w:val="EE0000"/>
        </w:rPr>
        <w:t>Title. Last Name</w:t>
      </w:r>
      <w:r w:rsidR="00CE2963" w:rsidRPr="0078481B">
        <w:rPr>
          <w:rFonts w:asciiTheme="majorHAnsi" w:hAnsiTheme="majorHAnsi" w:cstheme="majorHAnsi"/>
        </w:rPr>
        <w:t>]</w:t>
      </w:r>
      <w:r w:rsidR="00001775" w:rsidRPr="0078481B">
        <w:rPr>
          <w:rFonts w:asciiTheme="majorHAnsi" w:hAnsiTheme="majorHAnsi" w:cstheme="majorHAnsi"/>
        </w:rPr>
        <w:t xml:space="preserve">’s award.  The </w:t>
      </w:r>
      <w:r w:rsidR="00A07FC6" w:rsidRPr="0078481B">
        <w:rPr>
          <w:rFonts w:asciiTheme="majorHAnsi" w:hAnsiTheme="majorHAnsi" w:cstheme="majorHAnsi"/>
        </w:rPr>
        <w:t>SSWP</w:t>
      </w:r>
      <w:r w:rsidR="00333956" w:rsidRPr="0078481B">
        <w:rPr>
          <w:rFonts w:asciiTheme="majorHAnsi" w:hAnsiTheme="majorHAnsi" w:cstheme="majorHAnsi"/>
        </w:rPr>
        <w:t xml:space="preserve"> decided</w:t>
      </w:r>
      <w:r w:rsidR="00001775" w:rsidRPr="0078481B">
        <w:rPr>
          <w:rFonts w:asciiTheme="majorHAnsi" w:hAnsiTheme="majorHAnsi" w:cstheme="majorHAnsi"/>
        </w:rPr>
        <w:t xml:space="preserve"> that</w:t>
      </w:r>
      <w:r w:rsidR="00744ADD" w:rsidRPr="0078481B">
        <w:rPr>
          <w:rFonts w:asciiTheme="majorHAnsi" w:hAnsiTheme="majorHAnsi" w:cstheme="majorHAnsi"/>
        </w:rPr>
        <w:t xml:space="preserve"> </w:t>
      </w:r>
      <w:r w:rsidR="00CE2963" w:rsidRPr="0078481B">
        <w:rPr>
          <w:rFonts w:asciiTheme="majorHAnsi" w:hAnsiTheme="majorHAnsi" w:cstheme="majorHAnsi"/>
        </w:rPr>
        <w:t>[</w:t>
      </w:r>
      <w:r w:rsidR="000C376C" w:rsidRPr="000C376C">
        <w:rPr>
          <w:rFonts w:asciiTheme="majorHAnsi" w:hAnsiTheme="majorHAnsi" w:cstheme="majorHAnsi"/>
          <w:color w:val="EE0000"/>
        </w:rPr>
        <w:t>Title. Last Name</w:t>
      </w:r>
      <w:r w:rsidR="00CE2963" w:rsidRPr="0078481B">
        <w:rPr>
          <w:rFonts w:asciiTheme="majorHAnsi" w:hAnsiTheme="majorHAnsi" w:cstheme="majorHAnsi"/>
        </w:rPr>
        <w:t>]</w:t>
      </w:r>
      <w:r w:rsidR="00985103" w:rsidRPr="0078481B">
        <w:rPr>
          <w:rFonts w:asciiTheme="majorHAnsi" w:hAnsiTheme="majorHAnsi" w:cstheme="majorHAnsi"/>
        </w:rPr>
        <w:t>’s UC award was to be superseded</w:t>
      </w:r>
      <w:r w:rsidR="00C21EC3" w:rsidRPr="0078481B">
        <w:rPr>
          <w:rFonts w:asciiTheme="majorHAnsi" w:hAnsiTheme="majorHAnsi" w:cstheme="majorHAnsi"/>
        </w:rPr>
        <w:t>, effective from</w:t>
      </w:r>
      <w:r w:rsidR="003F3A01" w:rsidRPr="0078481B">
        <w:rPr>
          <w:rFonts w:asciiTheme="majorHAnsi" w:hAnsiTheme="majorHAnsi" w:cstheme="majorHAnsi"/>
        </w:rPr>
        <w:t xml:space="preserve"> [</w:t>
      </w:r>
      <w:r w:rsidR="000C376C" w:rsidRPr="000C376C">
        <w:rPr>
          <w:rFonts w:asciiTheme="majorHAnsi" w:hAnsiTheme="majorHAnsi" w:cstheme="majorHAnsi"/>
          <w:color w:val="EE0000"/>
        </w:rPr>
        <w:t>effective date of supersession decision under appeal</w:t>
      </w:r>
      <w:r w:rsidR="00C50F13">
        <w:rPr>
          <w:rFonts w:asciiTheme="majorHAnsi" w:hAnsiTheme="majorHAnsi" w:cstheme="majorHAnsi"/>
          <w:color w:val="EE0000"/>
        </w:rPr>
        <w:t xml:space="preserve"> xx/xx/xx</w:t>
      </w:r>
      <w:r w:rsidR="003F3A01" w:rsidRPr="0078481B">
        <w:rPr>
          <w:rFonts w:asciiTheme="majorHAnsi" w:hAnsiTheme="majorHAnsi" w:cstheme="majorHAnsi"/>
        </w:rPr>
        <w:t xml:space="preserve">] </w:t>
      </w:r>
      <w:r w:rsidR="00985103" w:rsidRPr="0078481B">
        <w:rPr>
          <w:rFonts w:asciiTheme="majorHAnsi" w:hAnsiTheme="majorHAnsi" w:cstheme="majorHAnsi"/>
        </w:rPr>
        <w:t>to</w:t>
      </w:r>
      <w:r w:rsidR="00744ADD" w:rsidRPr="0078481B">
        <w:rPr>
          <w:rFonts w:asciiTheme="majorHAnsi" w:hAnsiTheme="majorHAnsi" w:cstheme="majorHAnsi"/>
        </w:rPr>
        <w:t>:</w:t>
      </w:r>
      <w:r w:rsidR="00985103" w:rsidRPr="0078481B">
        <w:rPr>
          <w:rFonts w:asciiTheme="majorHAnsi" w:hAnsiTheme="majorHAnsi" w:cstheme="majorHAnsi"/>
        </w:rPr>
        <w:t xml:space="preserve"> </w:t>
      </w:r>
    </w:p>
    <w:p w14:paraId="2B35AE1B" w14:textId="1B8AFA5F" w:rsidR="00243D32" w:rsidRPr="0078481B" w:rsidRDefault="00985103" w:rsidP="00E77A14">
      <w:pPr>
        <w:numPr>
          <w:ilvl w:val="1"/>
          <w:numId w:val="1"/>
        </w:numPr>
        <w:spacing w:before="120" w:line="360" w:lineRule="auto"/>
        <w:jc w:val="both"/>
        <w:rPr>
          <w:rFonts w:asciiTheme="majorHAnsi" w:hAnsiTheme="majorHAnsi" w:cstheme="majorHAnsi"/>
        </w:rPr>
      </w:pPr>
      <w:r w:rsidRPr="0078481B">
        <w:rPr>
          <w:rFonts w:asciiTheme="majorHAnsi" w:hAnsiTheme="majorHAnsi" w:cstheme="majorHAnsi"/>
        </w:rPr>
        <w:t>include the LCWRA element</w:t>
      </w:r>
      <w:r w:rsidR="0016607E" w:rsidRPr="0078481B">
        <w:rPr>
          <w:rFonts w:asciiTheme="majorHAnsi" w:hAnsiTheme="majorHAnsi" w:cstheme="majorHAnsi"/>
        </w:rPr>
        <w:t>;</w:t>
      </w:r>
    </w:p>
    <w:p w14:paraId="64E5E06A" w14:textId="3DB3D3AC" w:rsidR="0016607E" w:rsidRPr="0078481B" w:rsidRDefault="00176256" w:rsidP="00E77A14">
      <w:pPr>
        <w:numPr>
          <w:ilvl w:val="1"/>
          <w:numId w:val="1"/>
        </w:numPr>
        <w:spacing w:before="120" w:line="360" w:lineRule="auto"/>
        <w:jc w:val="both"/>
        <w:rPr>
          <w:rFonts w:asciiTheme="majorHAnsi" w:hAnsiTheme="majorHAnsi" w:cstheme="majorHAnsi"/>
        </w:rPr>
      </w:pPr>
      <w:r w:rsidRPr="0078481B">
        <w:rPr>
          <w:rFonts w:asciiTheme="majorHAnsi" w:hAnsiTheme="majorHAnsi" w:cstheme="majorHAnsi"/>
        </w:rPr>
        <w:t>remove</w:t>
      </w:r>
      <w:r w:rsidR="00A07FC6" w:rsidRPr="0078481B">
        <w:rPr>
          <w:rFonts w:asciiTheme="majorHAnsi" w:hAnsiTheme="majorHAnsi" w:cstheme="majorHAnsi"/>
        </w:rPr>
        <w:t xml:space="preserve"> the CE</w:t>
      </w:r>
      <w:r w:rsidRPr="0078481B">
        <w:rPr>
          <w:rFonts w:asciiTheme="majorHAnsi" w:hAnsiTheme="majorHAnsi" w:cstheme="majorHAnsi"/>
        </w:rPr>
        <w:t xml:space="preserve"> from the award; and</w:t>
      </w:r>
    </w:p>
    <w:p w14:paraId="27E50779" w14:textId="49361523" w:rsidR="00176256" w:rsidRPr="0078481B" w:rsidRDefault="00176256" w:rsidP="00E77A14">
      <w:pPr>
        <w:numPr>
          <w:ilvl w:val="1"/>
          <w:numId w:val="1"/>
        </w:numPr>
        <w:spacing w:before="120" w:line="360" w:lineRule="auto"/>
        <w:jc w:val="both"/>
        <w:rPr>
          <w:rFonts w:asciiTheme="majorHAnsi" w:hAnsiTheme="majorHAnsi" w:cstheme="majorHAnsi"/>
        </w:rPr>
      </w:pPr>
      <w:r w:rsidRPr="0078481B">
        <w:rPr>
          <w:rFonts w:asciiTheme="majorHAnsi" w:hAnsiTheme="majorHAnsi" w:cstheme="majorHAnsi"/>
        </w:rPr>
        <w:t xml:space="preserve">erode </w:t>
      </w:r>
      <w:r w:rsidR="00A07FC6" w:rsidRPr="0078481B">
        <w:rPr>
          <w:rFonts w:asciiTheme="majorHAnsi" w:hAnsiTheme="majorHAnsi" w:cstheme="majorHAnsi"/>
        </w:rPr>
        <w:t xml:space="preserve">the TE </w:t>
      </w:r>
      <w:r w:rsidR="001B0982" w:rsidRPr="0078481B">
        <w:rPr>
          <w:rFonts w:asciiTheme="majorHAnsi" w:hAnsiTheme="majorHAnsi" w:cstheme="majorHAnsi"/>
        </w:rPr>
        <w:t>by an amount equivalent to the LCWRA element.</w:t>
      </w:r>
    </w:p>
    <w:p w14:paraId="4A6195BD" w14:textId="633C1E8C" w:rsidR="008E5F69" w:rsidRPr="0078481B" w:rsidRDefault="008E5F69" w:rsidP="00E77A14">
      <w:pPr>
        <w:spacing w:before="120" w:line="360" w:lineRule="auto"/>
        <w:ind w:left="360"/>
        <w:jc w:val="both"/>
        <w:rPr>
          <w:rFonts w:asciiTheme="majorHAnsi" w:hAnsiTheme="majorHAnsi" w:cstheme="majorHAnsi"/>
        </w:rPr>
      </w:pPr>
      <w:proofErr w:type="gramStart"/>
      <w:r w:rsidRPr="0078481B">
        <w:rPr>
          <w:rFonts w:asciiTheme="majorHAnsi" w:hAnsiTheme="majorHAnsi" w:cstheme="majorHAnsi"/>
        </w:rPr>
        <w:t>As a consequence of</w:t>
      </w:r>
      <w:proofErr w:type="gramEnd"/>
      <w:r w:rsidRPr="0078481B">
        <w:rPr>
          <w:rFonts w:asciiTheme="majorHAnsi" w:hAnsiTheme="majorHAnsi" w:cstheme="majorHAnsi"/>
        </w:rPr>
        <w:t xml:space="preserve"> the supersession </w:t>
      </w:r>
      <w:r w:rsidR="00CE2963" w:rsidRPr="0078481B">
        <w:rPr>
          <w:rFonts w:asciiTheme="majorHAnsi" w:hAnsiTheme="majorHAnsi" w:cstheme="majorHAnsi"/>
        </w:rPr>
        <w:t>[</w:t>
      </w:r>
      <w:r w:rsidR="00C50F13" w:rsidRPr="00C50F13">
        <w:rPr>
          <w:rFonts w:asciiTheme="majorHAnsi" w:hAnsiTheme="majorHAnsi" w:cstheme="majorHAnsi"/>
          <w:color w:val="EE0000"/>
        </w:rPr>
        <w:t>Title. Last Name</w:t>
      </w:r>
      <w:r w:rsidR="00CE2963" w:rsidRPr="0078481B">
        <w:rPr>
          <w:rFonts w:asciiTheme="majorHAnsi" w:hAnsiTheme="majorHAnsi" w:cstheme="majorHAnsi"/>
        </w:rPr>
        <w:t>]</w:t>
      </w:r>
      <w:r w:rsidRPr="0078481B">
        <w:rPr>
          <w:rFonts w:asciiTheme="majorHAnsi" w:hAnsiTheme="majorHAnsi" w:cstheme="majorHAnsi"/>
        </w:rPr>
        <w:t xml:space="preserve">’s UC award </w:t>
      </w:r>
      <w:r w:rsidRPr="0078481B">
        <w:rPr>
          <w:rFonts w:asciiTheme="majorHAnsi" w:hAnsiTheme="majorHAnsi" w:cstheme="majorHAnsi"/>
          <w:i/>
          <w:iCs/>
          <w:u w:val="single"/>
        </w:rPr>
        <w:t>reduced</w:t>
      </w:r>
      <w:r w:rsidRPr="0078481B">
        <w:rPr>
          <w:rFonts w:asciiTheme="majorHAnsi" w:hAnsiTheme="majorHAnsi" w:cstheme="majorHAnsi"/>
          <w:i/>
          <w:iCs/>
        </w:rPr>
        <w:t xml:space="preserve"> </w:t>
      </w:r>
      <w:r w:rsidRPr="0078481B">
        <w:rPr>
          <w:rFonts w:asciiTheme="majorHAnsi" w:hAnsiTheme="majorHAnsi" w:cstheme="majorHAnsi"/>
        </w:rPr>
        <w:t>from £</w:t>
      </w:r>
      <w:r w:rsidR="007B5D1E" w:rsidRPr="0078481B">
        <w:rPr>
          <w:rFonts w:asciiTheme="majorHAnsi" w:hAnsiTheme="majorHAnsi" w:cstheme="majorHAnsi"/>
        </w:rPr>
        <w:t>[</w:t>
      </w:r>
      <w:r w:rsidR="00C50F13" w:rsidRPr="00C50F13">
        <w:rPr>
          <w:rFonts w:asciiTheme="majorHAnsi" w:hAnsiTheme="majorHAnsi" w:cstheme="majorHAnsi"/>
          <w:color w:val="EE0000"/>
        </w:rPr>
        <w:t>amount of award in assessment period preceding assessment period in which the supersession under appeal took effect</w:t>
      </w:r>
      <w:r w:rsidR="007B5D1E" w:rsidRPr="0078481B">
        <w:rPr>
          <w:rFonts w:asciiTheme="majorHAnsi" w:hAnsiTheme="majorHAnsi" w:cstheme="majorHAnsi"/>
        </w:rPr>
        <w:t>]</w:t>
      </w:r>
      <w:r w:rsidRPr="0078481B">
        <w:rPr>
          <w:rFonts w:asciiTheme="majorHAnsi" w:hAnsiTheme="majorHAnsi" w:cstheme="majorHAnsi"/>
        </w:rPr>
        <w:t xml:space="preserve"> prior to the supersession down to £</w:t>
      </w:r>
      <w:r w:rsidR="005B3858" w:rsidRPr="0078481B">
        <w:rPr>
          <w:rFonts w:asciiTheme="majorHAnsi" w:hAnsiTheme="majorHAnsi" w:cstheme="majorHAnsi"/>
        </w:rPr>
        <w:t>[</w:t>
      </w:r>
      <w:r w:rsidR="00C50F13" w:rsidRPr="00C50F13">
        <w:rPr>
          <w:rFonts w:asciiTheme="majorHAnsi" w:hAnsiTheme="majorHAnsi" w:cstheme="majorHAnsi"/>
          <w:color w:val="EE0000"/>
        </w:rPr>
        <w:t>amount of award in assessment period from which the supersession under appeal took effect</w:t>
      </w:r>
      <w:r w:rsidR="005B3858" w:rsidRPr="0078481B">
        <w:rPr>
          <w:rFonts w:asciiTheme="majorHAnsi" w:hAnsiTheme="majorHAnsi" w:cstheme="majorHAnsi"/>
        </w:rPr>
        <w:t>]</w:t>
      </w:r>
      <w:r w:rsidRPr="0078481B">
        <w:rPr>
          <w:rFonts w:asciiTheme="majorHAnsi" w:hAnsiTheme="majorHAnsi" w:cstheme="majorHAnsi"/>
        </w:rPr>
        <w:t xml:space="preserve"> after the supersession took effect.</w:t>
      </w:r>
    </w:p>
    <w:p w14:paraId="53DC43B7" w14:textId="0D7D5BBB" w:rsidR="00C21EC3" w:rsidRPr="0078481B" w:rsidRDefault="00404322" w:rsidP="00E77A14">
      <w:pPr>
        <w:numPr>
          <w:ilvl w:val="0"/>
          <w:numId w:val="1"/>
        </w:numPr>
        <w:spacing w:before="120" w:line="360" w:lineRule="auto"/>
        <w:jc w:val="both"/>
        <w:rPr>
          <w:rFonts w:asciiTheme="majorHAnsi" w:hAnsiTheme="majorHAnsi" w:cstheme="majorHAnsi"/>
        </w:rPr>
      </w:pPr>
      <w:r w:rsidRPr="0078481B">
        <w:rPr>
          <w:rFonts w:asciiTheme="majorHAnsi" w:hAnsiTheme="majorHAnsi" w:cstheme="majorHAnsi"/>
        </w:rPr>
        <w:t>[</w:t>
      </w:r>
      <w:r w:rsidR="00C50F13" w:rsidRPr="00C50F13">
        <w:rPr>
          <w:rFonts w:asciiTheme="majorHAnsi" w:hAnsiTheme="majorHAnsi" w:cstheme="majorHAnsi"/>
          <w:color w:val="EE0000"/>
        </w:rPr>
        <w:t>Date of request for revision</w:t>
      </w:r>
      <w:r w:rsidR="00C50F13">
        <w:rPr>
          <w:rFonts w:asciiTheme="majorHAnsi" w:hAnsiTheme="majorHAnsi" w:cstheme="majorHAnsi"/>
          <w:color w:val="EE0000"/>
        </w:rPr>
        <w:t xml:space="preserve"> xx/xx/xx</w:t>
      </w:r>
      <w:r w:rsidRPr="0078481B">
        <w:rPr>
          <w:rFonts w:asciiTheme="majorHAnsi" w:hAnsiTheme="majorHAnsi" w:cstheme="majorHAnsi"/>
        </w:rPr>
        <w:t>]</w:t>
      </w:r>
      <w:r w:rsidR="00CE49FE" w:rsidRPr="0078481B">
        <w:rPr>
          <w:rFonts w:asciiTheme="majorHAnsi" w:hAnsiTheme="majorHAnsi" w:cstheme="majorHAnsi"/>
        </w:rPr>
        <w:t xml:space="preserve"> - </w:t>
      </w:r>
      <w:r w:rsidR="00CE2963" w:rsidRPr="0078481B">
        <w:rPr>
          <w:rFonts w:asciiTheme="majorHAnsi" w:hAnsiTheme="majorHAnsi" w:cstheme="majorHAnsi"/>
        </w:rPr>
        <w:t>[</w:t>
      </w:r>
      <w:r w:rsidR="00C50F13" w:rsidRPr="00C50F13">
        <w:rPr>
          <w:rFonts w:asciiTheme="majorHAnsi" w:hAnsiTheme="majorHAnsi" w:cstheme="majorHAnsi"/>
          <w:color w:val="EE0000"/>
        </w:rPr>
        <w:t>Title. Last Name</w:t>
      </w:r>
      <w:r w:rsidR="00CE2963" w:rsidRPr="0078481B">
        <w:rPr>
          <w:rFonts w:asciiTheme="majorHAnsi" w:hAnsiTheme="majorHAnsi" w:cstheme="majorHAnsi"/>
        </w:rPr>
        <w:t>]</w:t>
      </w:r>
      <w:r w:rsidR="0031056A" w:rsidRPr="0078481B">
        <w:rPr>
          <w:rFonts w:asciiTheme="majorHAnsi" w:hAnsiTheme="majorHAnsi" w:cstheme="majorHAnsi"/>
        </w:rPr>
        <w:t xml:space="preserve"> requested a revision of the decision of </w:t>
      </w:r>
      <w:r w:rsidR="00BA52CD">
        <w:rPr>
          <w:rFonts w:asciiTheme="majorHAnsi" w:hAnsiTheme="majorHAnsi" w:cstheme="majorHAnsi"/>
        </w:rPr>
        <w:t>[</w:t>
      </w:r>
      <w:r w:rsidR="00BA52CD" w:rsidRPr="00BA52CD">
        <w:rPr>
          <w:rFonts w:asciiTheme="majorHAnsi" w:hAnsiTheme="majorHAnsi" w:cstheme="majorHAnsi"/>
          <w:color w:val="EE0000"/>
        </w:rPr>
        <w:t>xx/xx/xx</w:t>
      </w:r>
      <w:r w:rsidR="00BA52CD">
        <w:rPr>
          <w:rFonts w:asciiTheme="majorHAnsi" w:hAnsiTheme="majorHAnsi" w:cstheme="majorHAnsi"/>
        </w:rPr>
        <w:t>]</w:t>
      </w:r>
    </w:p>
    <w:p w14:paraId="67EBC51B" w14:textId="0A08B7A1" w:rsidR="000004EC" w:rsidRPr="0078481B" w:rsidRDefault="000004EC" w:rsidP="00E77A14">
      <w:pPr>
        <w:numPr>
          <w:ilvl w:val="0"/>
          <w:numId w:val="1"/>
        </w:numPr>
        <w:spacing w:before="120" w:line="360" w:lineRule="auto"/>
        <w:jc w:val="both"/>
        <w:rPr>
          <w:rFonts w:asciiTheme="majorHAnsi" w:hAnsiTheme="majorHAnsi" w:cstheme="majorHAnsi"/>
        </w:rPr>
      </w:pPr>
      <w:r w:rsidRPr="0078481B">
        <w:rPr>
          <w:rFonts w:asciiTheme="majorHAnsi" w:hAnsiTheme="majorHAnsi" w:cstheme="majorHAnsi"/>
        </w:rPr>
        <w:t>29/01/2025 – The Upper Tribunal (</w:t>
      </w:r>
      <w:r w:rsidR="00BA52CD">
        <w:rPr>
          <w:rFonts w:asciiTheme="majorHAnsi" w:hAnsiTheme="majorHAnsi" w:cstheme="majorHAnsi"/>
        </w:rPr>
        <w:t>“</w:t>
      </w:r>
      <w:r w:rsidRPr="0078481B">
        <w:rPr>
          <w:rFonts w:asciiTheme="majorHAnsi" w:hAnsiTheme="majorHAnsi" w:cstheme="majorHAnsi"/>
          <w:b/>
          <w:bCs/>
        </w:rPr>
        <w:t>UT</w:t>
      </w:r>
      <w:r w:rsidR="00BA52CD">
        <w:rPr>
          <w:rFonts w:asciiTheme="majorHAnsi" w:hAnsiTheme="majorHAnsi" w:cstheme="majorHAnsi"/>
          <w:b/>
          <w:bCs/>
        </w:rPr>
        <w:t>”</w:t>
      </w:r>
      <w:r w:rsidRPr="0078481B">
        <w:rPr>
          <w:rFonts w:asciiTheme="majorHAnsi" w:hAnsiTheme="majorHAnsi" w:cstheme="majorHAnsi"/>
        </w:rPr>
        <w:t xml:space="preserve">) decides the case of </w:t>
      </w:r>
      <w:r w:rsidRPr="0078481B">
        <w:rPr>
          <w:rFonts w:asciiTheme="majorHAnsi" w:hAnsiTheme="majorHAnsi" w:cstheme="majorHAnsi"/>
          <w:i/>
          <w:iCs/>
        </w:rPr>
        <w:t>SSWP v MJ</w:t>
      </w:r>
      <w:r w:rsidRPr="0078481B">
        <w:rPr>
          <w:rFonts w:asciiTheme="majorHAnsi" w:hAnsiTheme="majorHAnsi" w:cstheme="majorHAnsi"/>
        </w:rPr>
        <w:t xml:space="preserve"> [2025] UKUT 35 (AAC).</w:t>
      </w:r>
    </w:p>
    <w:p w14:paraId="5897D8DF" w14:textId="15F75F73" w:rsidR="00CE49FE" w:rsidRPr="0078481B" w:rsidRDefault="008079A1" w:rsidP="00E77A14">
      <w:pPr>
        <w:numPr>
          <w:ilvl w:val="0"/>
          <w:numId w:val="1"/>
        </w:numPr>
        <w:spacing w:before="120" w:line="360" w:lineRule="auto"/>
        <w:jc w:val="both"/>
        <w:rPr>
          <w:rFonts w:asciiTheme="majorHAnsi" w:hAnsiTheme="majorHAnsi" w:cstheme="majorHAnsi"/>
        </w:rPr>
      </w:pPr>
      <w:r w:rsidRPr="0078481B">
        <w:rPr>
          <w:rFonts w:asciiTheme="majorHAnsi" w:hAnsiTheme="majorHAnsi" w:cstheme="majorHAnsi"/>
        </w:rPr>
        <w:t>[</w:t>
      </w:r>
      <w:r w:rsidR="00BA52CD">
        <w:rPr>
          <w:rFonts w:asciiTheme="majorHAnsi" w:hAnsiTheme="majorHAnsi" w:cstheme="majorHAnsi"/>
          <w:color w:val="EE0000"/>
        </w:rPr>
        <w:t>D</w:t>
      </w:r>
      <w:r w:rsidR="00BA52CD" w:rsidRPr="00BA52CD">
        <w:rPr>
          <w:rFonts w:asciiTheme="majorHAnsi" w:hAnsiTheme="majorHAnsi" w:cstheme="majorHAnsi"/>
          <w:color w:val="EE0000"/>
        </w:rPr>
        <w:t>ate that SSWP issued mandatory reconsideration notice</w:t>
      </w:r>
      <w:r w:rsidR="00BA52CD">
        <w:rPr>
          <w:rFonts w:asciiTheme="majorHAnsi" w:hAnsiTheme="majorHAnsi" w:cstheme="majorHAnsi"/>
          <w:color w:val="EE0000"/>
        </w:rPr>
        <w:t xml:space="preserve"> xx/xx/xx</w:t>
      </w:r>
      <w:r w:rsidRPr="0078481B">
        <w:rPr>
          <w:rFonts w:asciiTheme="majorHAnsi" w:hAnsiTheme="majorHAnsi" w:cstheme="majorHAnsi"/>
        </w:rPr>
        <w:t>]</w:t>
      </w:r>
      <w:r w:rsidR="008B0AF5" w:rsidRPr="0078481B">
        <w:rPr>
          <w:rFonts w:asciiTheme="majorHAnsi" w:hAnsiTheme="majorHAnsi" w:cstheme="majorHAnsi"/>
        </w:rPr>
        <w:t xml:space="preserve"> </w:t>
      </w:r>
      <w:r w:rsidR="001D0711" w:rsidRPr="0078481B">
        <w:rPr>
          <w:rFonts w:asciiTheme="majorHAnsi" w:hAnsiTheme="majorHAnsi" w:cstheme="majorHAnsi"/>
        </w:rPr>
        <w:t>–</w:t>
      </w:r>
      <w:r w:rsidR="008B0AF5" w:rsidRPr="0078481B">
        <w:rPr>
          <w:rFonts w:asciiTheme="majorHAnsi" w:hAnsiTheme="majorHAnsi" w:cstheme="majorHAnsi"/>
        </w:rPr>
        <w:t xml:space="preserve"> </w:t>
      </w:r>
      <w:r w:rsidR="001D0711" w:rsidRPr="0078481B">
        <w:rPr>
          <w:rFonts w:asciiTheme="majorHAnsi" w:hAnsiTheme="majorHAnsi" w:cstheme="majorHAnsi"/>
        </w:rPr>
        <w:t xml:space="preserve">the SSWP refused to </w:t>
      </w:r>
      <w:r w:rsidR="00144A24" w:rsidRPr="0078481B">
        <w:rPr>
          <w:rFonts w:asciiTheme="majorHAnsi" w:hAnsiTheme="majorHAnsi" w:cstheme="majorHAnsi"/>
        </w:rPr>
        <w:t>revise the decision.</w:t>
      </w:r>
    </w:p>
    <w:p w14:paraId="474600C7" w14:textId="5705B10F" w:rsidR="00144A24" w:rsidRPr="0078481B" w:rsidRDefault="00BA52CD" w:rsidP="00E77A14">
      <w:pPr>
        <w:numPr>
          <w:ilvl w:val="0"/>
          <w:numId w:val="1"/>
        </w:numPr>
        <w:spacing w:before="120" w:line="360" w:lineRule="auto"/>
        <w:jc w:val="both"/>
        <w:rPr>
          <w:rFonts w:asciiTheme="majorHAnsi" w:hAnsiTheme="majorHAnsi" w:cstheme="majorHAnsi"/>
        </w:rPr>
      </w:pPr>
      <w:r>
        <w:rPr>
          <w:rFonts w:asciiTheme="majorHAnsi" w:hAnsiTheme="majorHAnsi" w:cstheme="majorHAnsi"/>
        </w:rPr>
        <w:t>[</w:t>
      </w:r>
      <w:r w:rsidRPr="00BA52CD">
        <w:rPr>
          <w:rFonts w:asciiTheme="majorHAnsi" w:hAnsiTheme="majorHAnsi" w:cstheme="majorHAnsi"/>
          <w:color w:val="EE0000"/>
        </w:rPr>
        <w:t>xx/xx/xx</w:t>
      </w:r>
      <w:r>
        <w:rPr>
          <w:rFonts w:asciiTheme="majorHAnsi" w:hAnsiTheme="majorHAnsi" w:cstheme="majorHAnsi"/>
        </w:rPr>
        <w:t>]</w:t>
      </w:r>
      <w:r w:rsidR="00144A24" w:rsidRPr="0078481B">
        <w:rPr>
          <w:rFonts w:asciiTheme="majorHAnsi" w:hAnsiTheme="majorHAnsi" w:cstheme="majorHAnsi"/>
        </w:rPr>
        <w:t xml:space="preserve"> – </w:t>
      </w:r>
      <w:r w:rsidR="00CE2963" w:rsidRPr="0078481B">
        <w:rPr>
          <w:rFonts w:asciiTheme="majorHAnsi" w:hAnsiTheme="majorHAnsi" w:cstheme="majorHAnsi"/>
        </w:rPr>
        <w:t>[</w:t>
      </w:r>
      <w:r w:rsidRPr="00BA52CD">
        <w:rPr>
          <w:rFonts w:asciiTheme="majorHAnsi" w:hAnsiTheme="majorHAnsi" w:cstheme="majorHAnsi"/>
          <w:color w:val="EE0000"/>
        </w:rPr>
        <w:t>Title. Last Name</w:t>
      </w:r>
      <w:r w:rsidR="00CE2963" w:rsidRPr="0078481B">
        <w:rPr>
          <w:rFonts w:asciiTheme="majorHAnsi" w:hAnsiTheme="majorHAnsi" w:cstheme="majorHAnsi"/>
        </w:rPr>
        <w:t>]</w:t>
      </w:r>
      <w:r w:rsidR="00144A24" w:rsidRPr="0078481B">
        <w:rPr>
          <w:rFonts w:asciiTheme="majorHAnsi" w:hAnsiTheme="majorHAnsi" w:cstheme="majorHAnsi"/>
        </w:rPr>
        <w:t xml:space="preserve"> submitted an appeal.</w:t>
      </w:r>
    </w:p>
    <w:p w14:paraId="72A3D3EC" w14:textId="77777777" w:rsidR="006E5EDD" w:rsidRPr="0078481B" w:rsidRDefault="006E5EDD" w:rsidP="00E77A14">
      <w:pPr>
        <w:spacing w:before="120" w:after="240" w:line="360" w:lineRule="auto"/>
        <w:jc w:val="both"/>
        <w:rPr>
          <w:rFonts w:asciiTheme="majorHAnsi" w:hAnsiTheme="majorHAnsi" w:cstheme="majorHAnsi"/>
          <w:b/>
          <w:bCs/>
          <w:u w:val="single"/>
        </w:rPr>
      </w:pPr>
    </w:p>
    <w:p w14:paraId="0F61617A" w14:textId="35EFAA21" w:rsidR="00507876" w:rsidRPr="0078481B" w:rsidRDefault="005900B2" w:rsidP="00E77A14">
      <w:pPr>
        <w:spacing w:before="120" w:after="240" w:line="360" w:lineRule="auto"/>
        <w:jc w:val="both"/>
        <w:rPr>
          <w:rFonts w:asciiTheme="majorHAnsi" w:hAnsiTheme="majorHAnsi" w:cstheme="majorHAnsi"/>
          <w:b/>
          <w:bCs/>
          <w:u w:val="single"/>
        </w:rPr>
      </w:pPr>
      <w:r w:rsidRPr="0078481B">
        <w:rPr>
          <w:rFonts w:asciiTheme="majorHAnsi" w:hAnsiTheme="majorHAnsi" w:cstheme="majorHAnsi"/>
          <w:b/>
          <w:bCs/>
          <w:u w:val="single"/>
        </w:rPr>
        <w:t>Submissions</w:t>
      </w:r>
    </w:p>
    <w:p w14:paraId="7D5C026A" w14:textId="73B6A465" w:rsidR="00AB5B67" w:rsidRPr="0078481B" w:rsidRDefault="00AB5B67" w:rsidP="00E77A14">
      <w:pPr>
        <w:spacing w:before="120" w:after="240" w:line="360" w:lineRule="auto"/>
        <w:jc w:val="both"/>
        <w:rPr>
          <w:rFonts w:asciiTheme="majorHAnsi" w:hAnsiTheme="majorHAnsi" w:cstheme="majorHAnsi"/>
          <w:i/>
          <w:iCs/>
          <w:u w:val="single"/>
        </w:rPr>
      </w:pPr>
      <w:r w:rsidRPr="0078481B">
        <w:rPr>
          <w:rFonts w:asciiTheme="majorHAnsi" w:hAnsiTheme="majorHAnsi" w:cstheme="majorHAnsi"/>
          <w:i/>
          <w:iCs/>
          <w:u w:val="single"/>
        </w:rPr>
        <w:t>This case is on all-fours with the case of MJ</w:t>
      </w:r>
    </w:p>
    <w:p w14:paraId="5CBF5375" w14:textId="44496CBA" w:rsidR="005900B2" w:rsidRPr="0078481B" w:rsidRDefault="00CE2963" w:rsidP="00E77A14">
      <w:pPr>
        <w:numPr>
          <w:ilvl w:val="0"/>
          <w:numId w:val="1"/>
        </w:numPr>
        <w:spacing w:before="120" w:after="240" w:line="360" w:lineRule="auto"/>
        <w:jc w:val="both"/>
        <w:rPr>
          <w:rFonts w:asciiTheme="majorHAnsi" w:hAnsiTheme="majorHAnsi" w:cstheme="majorHAnsi"/>
        </w:rPr>
      </w:pPr>
      <w:r w:rsidRPr="0078481B">
        <w:rPr>
          <w:rFonts w:asciiTheme="majorHAnsi" w:hAnsiTheme="majorHAnsi" w:cstheme="majorHAnsi"/>
        </w:rPr>
        <w:t>[</w:t>
      </w:r>
      <w:r w:rsidR="00BA52CD" w:rsidRPr="00BA52CD">
        <w:rPr>
          <w:rFonts w:asciiTheme="majorHAnsi" w:hAnsiTheme="majorHAnsi" w:cstheme="majorHAnsi"/>
          <w:color w:val="EE0000"/>
        </w:rPr>
        <w:t>Title. Last Name</w:t>
      </w:r>
      <w:r w:rsidRPr="0078481B">
        <w:rPr>
          <w:rFonts w:asciiTheme="majorHAnsi" w:hAnsiTheme="majorHAnsi" w:cstheme="majorHAnsi"/>
        </w:rPr>
        <w:t>]</w:t>
      </w:r>
      <w:r w:rsidR="002B71E5" w:rsidRPr="0078481B">
        <w:rPr>
          <w:rFonts w:asciiTheme="majorHAnsi" w:hAnsiTheme="majorHAnsi" w:cstheme="majorHAnsi"/>
        </w:rPr>
        <w:t xml:space="preserve"> is in the same position as was the respondent in </w:t>
      </w:r>
      <w:r w:rsidR="002B71E5" w:rsidRPr="0078481B">
        <w:rPr>
          <w:rFonts w:asciiTheme="majorHAnsi" w:hAnsiTheme="majorHAnsi" w:cstheme="majorHAnsi"/>
          <w:i/>
          <w:iCs/>
        </w:rPr>
        <w:t>SSWP v MJ</w:t>
      </w:r>
      <w:r w:rsidR="002B71E5" w:rsidRPr="0078481B">
        <w:rPr>
          <w:rFonts w:asciiTheme="majorHAnsi" w:hAnsiTheme="majorHAnsi" w:cstheme="majorHAnsi"/>
        </w:rPr>
        <w:t xml:space="preserve"> [2025] UKUT 35 (AAC). UTJ West set out MJ’s circumstances as follows</w:t>
      </w:r>
      <w:r w:rsidR="00621822" w:rsidRPr="0078481B">
        <w:rPr>
          <w:rStyle w:val="FootnoteReference"/>
          <w:rFonts w:asciiTheme="majorHAnsi" w:hAnsiTheme="majorHAnsi" w:cstheme="majorHAnsi"/>
        </w:rPr>
        <w:footnoteReference w:id="1"/>
      </w:r>
      <w:r w:rsidR="002B71E5" w:rsidRPr="0078481B">
        <w:rPr>
          <w:rFonts w:asciiTheme="majorHAnsi" w:hAnsiTheme="majorHAnsi" w:cstheme="majorHAnsi"/>
        </w:rPr>
        <w:t xml:space="preserve"> : </w:t>
      </w:r>
    </w:p>
    <w:p w14:paraId="287FE239" w14:textId="2CA0B980" w:rsidR="002B71E5" w:rsidRPr="0078481B" w:rsidRDefault="002B71E5" w:rsidP="00E77A14">
      <w:pPr>
        <w:spacing w:before="120" w:after="240" w:line="360" w:lineRule="auto"/>
        <w:ind w:left="720"/>
        <w:jc w:val="both"/>
        <w:rPr>
          <w:rFonts w:asciiTheme="majorHAnsi" w:hAnsiTheme="majorHAnsi" w:cstheme="majorHAnsi"/>
          <w:i/>
          <w:iCs/>
        </w:rPr>
      </w:pPr>
      <w:r w:rsidRPr="0078481B">
        <w:rPr>
          <w:rFonts w:asciiTheme="majorHAnsi" w:hAnsiTheme="majorHAnsi" w:cstheme="majorHAnsi"/>
          <w:i/>
          <w:iCs/>
        </w:rPr>
        <w:t>5. On 13 October 2020, the Secretary of State converted the transitional SDP</w:t>
      </w:r>
      <w:r w:rsidR="00AB5B67" w:rsidRPr="0078481B">
        <w:rPr>
          <w:rFonts w:asciiTheme="majorHAnsi" w:hAnsiTheme="majorHAnsi" w:cstheme="majorHAnsi"/>
          <w:i/>
          <w:iCs/>
        </w:rPr>
        <w:t xml:space="preserve"> </w:t>
      </w:r>
      <w:r w:rsidRPr="0078481B">
        <w:rPr>
          <w:rFonts w:asciiTheme="majorHAnsi" w:hAnsiTheme="majorHAnsi" w:cstheme="majorHAnsi"/>
          <w:i/>
          <w:iCs/>
        </w:rPr>
        <w:t>amount to the TSDPE. On 18 June 2021 MJ notified the Secretary of State of a</w:t>
      </w:r>
      <w:r w:rsidR="00AB5B67" w:rsidRPr="0078481B">
        <w:rPr>
          <w:rFonts w:asciiTheme="majorHAnsi" w:hAnsiTheme="majorHAnsi" w:cstheme="majorHAnsi"/>
          <w:i/>
          <w:iCs/>
        </w:rPr>
        <w:t xml:space="preserve"> </w:t>
      </w:r>
      <w:r w:rsidRPr="0078481B">
        <w:rPr>
          <w:rFonts w:asciiTheme="majorHAnsi" w:hAnsiTheme="majorHAnsi" w:cstheme="majorHAnsi"/>
          <w:i/>
          <w:iCs/>
        </w:rPr>
        <w:t>relevant change in circumstances, namely that she had been diagnosed with</w:t>
      </w:r>
      <w:r w:rsidR="00AB5B67" w:rsidRPr="0078481B">
        <w:rPr>
          <w:rFonts w:asciiTheme="majorHAnsi" w:hAnsiTheme="majorHAnsi" w:cstheme="majorHAnsi"/>
          <w:i/>
          <w:iCs/>
        </w:rPr>
        <w:t xml:space="preserve"> </w:t>
      </w:r>
      <w:r w:rsidRPr="0078481B">
        <w:rPr>
          <w:rFonts w:asciiTheme="majorHAnsi" w:hAnsiTheme="majorHAnsi" w:cstheme="majorHAnsi"/>
          <w:i/>
          <w:iCs/>
        </w:rPr>
        <w:t>polymyalgia.</w:t>
      </w:r>
    </w:p>
    <w:p w14:paraId="472D2217" w14:textId="26E8B724" w:rsidR="002B71E5" w:rsidRPr="0078481B" w:rsidRDefault="002B71E5" w:rsidP="00E77A14">
      <w:pPr>
        <w:spacing w:before="120" w:after="240" w:line="360" w:lineRule="auto"/>
        <w:ind w:left="720"/>
        <w:jc w:val="both"/>
        <w:rPr>
          <w:rFonts w:asciiTheme="majorHAnsi" w:hAnsiTheme="majorHAnsi" w:cstheme="majorHAnsi"/>
          <w:i/>
          <w:iCs/>
        </w:rPr>
      </w:pPr>
      <w:r w:rsidRPr="0078481B">
        <w:rPr>
          <w:rFonts w:asciiTheme="majorHAnsi" w:hAnsiTheme="majorHAnsi" w:cstheme="majorHAnsi"/>
          <w:i/>
          <w:iCs/>
        </w:rPr>
        <w:t>6. At the time of the erosion decision, MJ’s UC award comprised a carer element</w:t>
      </w:r>
      <w:r w:rsidR="00AB5B67" w:rsidRPr="0078481B">
        <w:rPr>
          <w:rFonts w:asciiTheme="majorHAnsi" w:hAnsiTheme="majorHAnsi" w:cstheme="majorHAnsi"/>
          <w:i/>
          <w:iCs/>
        </w:rPr>
        <w:t xml:space="preserve"> </w:t>
      </w:r>
      <w:r w:rsidRPr="0078481B">
        <w:rPr>
          <w:rFonts w:asciiTheme="majorHAnsi" w:hAnsiTheme="majorHAnsi" w:cstheme="majorHAnsi"/>
          <w:i/>
          <w:iCs/>
        </w:rPr>
        <w:t>of UC. On 25 October 2021, with effect from 10 October 2021, the Secretary of</w:t>
      </w:r>
      <w:r w:rsidR="00AB5B67" w:rsidRPr="0078481B">
        <w:rPr>
          <w:rFonts w:asciiTheme="majorHAnsi" w:hAnsiTheme="majorHAnsi" w:cstheme="majorHAnsi"/>
          <w:i/>
          <w:iCs/>
        </w:rPr>
        <w:t xml:space="preserve"> </w:t>
      </w:r>
      <w:r w:rsidRPr="0078481B">
        <w:rPr>
          <w:rFonts w:asciiTheme="majorHAnsi" w:hAnsiTheme="majorHAnsi" w:cstheme="majorHAnsi"/>
          <w:i/>
          <w:iCs/>
        </w:rPr>
        <w:t>State decided to add a LCWRA element to MJ’s UC award and in consequence</w:t>
      </w:r>
      <w:r w:rsidR="00AB5B67" w:rsidRPr="0078481B">
        <w:rPr>
          <w:rFonts w:asciiTheme="majorHAnsi" w:hAnsiTheme="majorHAnsi" w:cstheme="majorHAnsi"/>
          <w:i/>
          <w:iCs/>
        </w:rPr>
        <w:t xml:space="preserve"> </w:t>
      </w:r>
      <w:r w:rsidRPr="0078481B">
        <w:rPr>
          <w:rFonts w:asciiTheme="majorHAnsi" w:hAnsiTheme="majorHAnsi" w:cstheme="majorHAnsi"/>
          <w:i/>
          <w:iCs/>
        </w:rPr>
        <w:t>the carer element of the UC award was removed, pursuant to regulation 29(4) of</w:t>
      </w:r>
      <w:r w:rsidR="00AB5B67" w:rsidRPr="0078481B">
        <w:rPr>
          <w:rFonts w:asciiTheme="majorHAnsi" w:hAnsiTheme="majorHAnsi" w:cstheme="majorHAnsi"/>
          <w:i/>
          <w:iCs/>
        </w:rPr>
        <w:t xml:space="preserve"> </w:t>
      </w:r>
      <w:r w:rsidRPr="0078481B">
        <w:rPr>
          <w:rFonts w:asciiTheme="majorHAnsi" w:hAnsiTheme="majorHAnsi" w:cstheme="majorHAnsi"/>
          <w:i/>
          <w:iCs/>
        </w:rPr>
        <w:t>the 2013 Regulations.</w:t>
      </w:r>
    </w:p>
    <w:p w14:paraId="7C865E7E" w14:textId="3DF2386B" w:rsidR="002B71E5" w:rsidRPr="0078481B" w:rsidRDefault="002B71E5" w:rsidP="00E77A14">
      <w:pPr>
        <w:spacing w:before="120" w:after="240" w:line="360" w:lineRule="auto"/>
        <w:ind w:left="720"/>
        <w:jc w:val="both"/>
        <w:rPr>
          <w:rFonts w:asciiTheme="majorHAnsi" w:hAnsiTheme="majorHAnsi" w:cstheme="majorHAnsi"/>
        </w:rPr>
      </w:pPr>
      <w:r w:rsidRPr="0078481B">
        <w:rPr>
          <w:rFonts w:asciiTheme="majorHAnsi" w:hAnsiTheme="majorHAnsi" w:cstheme="majorHAnsi"/>
          <w:i/>
          <w:iCs/>
        </w:rPr>
        <w:t>7. By virtue of regulation 55 of the 2014 Regulations, the effect of the addition of</w:t>
      </w:r>
      <w:r w:rsidR="00AB5B67" w:rsidRPr="0078481B">
        <w:rPr>
          <w:rFonts w:asciiTheme="majorHAnsi" w:hAnsiTheme="majorHAnsi" w:cstheme="majorHAnsi"/>
          <w:i/>
          <w:iCs/>
        </w:rPr>
        <w:t xml:space="preserve"> </w:t>
      </w:r>
      <w:r w:rsidRPr="0078481B">
        <w:rPr>
          <w:rFonts w:asciiTheme="majorHAnsi" w:hAnsiTheme="majorHAnsi" w:cstheme="majorHAnsi"/>
          <w:i/>
          <w:iCs/>
        </w:rPr>
        <w:t>the LCWRA element was to erode MJ’s TSDPE to nil. Overall, the amount of her</w:t>
      </w:r>
      <w:r w:rsidR="00AB5B67" w:rsidRPr="0078481B">
        <w:rPr>
          <w:rFonts w:asciiTheme="majorHAnsi" w:hAnsiTheme="majorHAnsi" w:cstheme="majorHAnsi"/>
          <w:i/>
          <w:iCs/>
        </w:rPr>
        <w:t xml:space="preserve"> </w:t>
      </w:r>
      <w:r w:rsidRPr="0078481B">
        <w:rPr>
          <w:rFonts w:asciiTheme="majorHAnsi" w:hAnsiTheme="majorHAnsi" w:cstheme="majorHAnsi"/>
          <w:i/>
          <w:iCs/>
        </w:rPr>
        <w:t>UC award went from £975.20 for the earlier assessment period (10 September</w:t>
      </w:r>
      <w:r w:rsidR="00AB5B67" w:rsidRPr="0078481B">
        <w:rPr>
          <w:rFonts w:asciiTheme="majorHAnsi" w:hAnsiTheme="majorHAnsi" w:cstheme="majorHAnsi"/>
          <w:i/>
          <w:iCs/>
        </w:rPr>
        <w:t xml:space="preserve"> </w:t>
      </w:r>
      <w:r w:rsidRPr="0078481B">
        <w:rPr>
          <w:rFonts w:asciiTheme="majorHAnsi" w:hAnsiTheme="majorHAnsi" w:cstheme="majorHAnsi"/>
          <w:i/>
          <w:iCs/>
        </w:rPr>
        <w:t>2021 to 9 October 2021) to £879.98 for the following UC assessment period (10</w:t>
      </w:r>
      <w:r w:rsidR="00AB5B67" w:rsidRPr="0078481B">
        <w:rPr>
          <w:rFonts w:asciiTheme="majorHAnsi" w:hAnsiTheme="majorHAnsi" w:cstheme="majorHAnsi"/>
          <w:i/>
          <w:iCs/>
        </w:rPr>
        <w:t xml:space="preserve"> </w:t>
      </w:r>
      <w:r w:rsidRPr="0078481B">
        <w:rPr>
          <w:rFonts w:asciiTheme="majorHAnsi" w:hAnsiTheme="majorHAnsi" w:cstheme="majorHAnsi"/>
          <w:i/>
          <w:iCs/>
        </w:rPr>
        <w:t>October 2021 to November 2021, i.e. the assessment period which is the subject</w:t>
      </w:r>
      <w:r w:rsidR="00AB5B67" w:rsidRPr="0078481B">
        <w:rPr>
          <w:rFonts w:asciiTheme="majorHAnsi" w:hAnsiTheme="majorHAnsi" w:cstheme="majorHAnsi"/>
          <w:i/>
          <w:iCs/>
        </w:rPr>
        <w:t xml:space="preserve"> </w:t>
      </w:r>
      <w:r w:rsidRPr="0078481B">
        <w:rPr>
          <w:rFonts w:asciiTheme="majorHAnsi" w:hAnsiTheme="majorHAnsi" w:cstheme="majorHAnsi"/>
          <w:i/>
          <w:iCs/>
        </w:rPr>
        <w:t>of the appeal)</w:t>
      </w:r>
    </w:p>
    <w:p w14:paraId="7C7676C6" w14:textId="4118D210" w:rsidR="009F0559" w:rsidRPr="0078481B" w:rsidRDefault="00CE2963" w:rsidP="00FC7570">
      <w:pPr>
        <w:numPr>
          <w:ilvl w:val="0"/>
          <w:numId w:val="1"/>
        </w:numPr>
        <w:spacing w:before="120" w:line="360" w:lineRule="auto"/>
        <w:jc w:val="both"/>
        <w:rPr>
          <w:rFonts w:asciiTheme="majorHAnsi" w:hAnsiTheme="majorHAnsi" w:cstheme="majorHAnsi"/>
        </w:rPr>
      </w:pPr>
      <w:r w:rsidRPr="0078481B">
        <w:rPr>
          <w:rFonts w:asciiTheme="majorHAnsi" w:hAnsiTheme="majorHAnsi" w:cstheme="majorHAnsi"/>
        </w:rPr>
        <w:t>[</w:t>
      </w:r>
      <w:r w:rsidR="00BA52CD" w:rsidRPr="00BA52CD">
        <w:rPr>
          <w:rFonts w:asciiTheme="majorHAnsi" w:hAnsiTheme="majorHAnsi" w:cstheme="majorHAnsi"/>
          <w:color w:val="EE0000"/>
        </w:rPr>
        <w:t>Title. Last Name</w:t>
      </w:r>
      <w:r w:rsidRPr="0078481B">
        <w:rPr>
          <w:rFonts w:asciiTheme="majorHAnsi" w:hAnsiTheme="majorHAnsi" w:cstheme="majorHAnsi"/>
        </w:rPr>
        <w:t>]</w:t>
      </w:r>
      <w:r w:rsidR="00AB5B67" w:rsidRPr="0078481B">
        <w:rPr>
          <w:rFonts w:asciiTheme="majorHAnsi" w:hAnsiTheme="majorHAnsi" w:cstheme="majorHAnsi"/>
        </w:rPr>
        <w:t xml:space="preserve">’s UC included a managed migration transitional element, under reg.52 </w:t>
      </w:r>
      <w:r w:rsidR="00851BC2" w:rsidRPr="0078481B">
        <w:rPr>
          <w:rFonts w:asciiTheme="majorHAnsi" w:hAnsiTheme="majorHAnsi" w:cstheme="majorHAnsi"/>
        </w:rPr>
        <w:t xml:space="preserve">of the </w:t>
      </w:r>
      <w:r w:rsidR="00C54287" w:rsidRPr="0078481B">
        <w:rPr>
          <w:rFonts w:asciiTheme="majorHAnsi" w:hAnsiTheme="majorHAnsi" w:cstheme="majorHAnsi"/>
        </w:rPr>
        <w:t>2014 Reg</w:t>
      </w:r>
      <w:r w:rsidR="00C82561" w:rsidRPr="0078481B">
        <w:rPr>
          <w:rFonts w:asciiTheme="majorHAnsi" w:hAnsiTheme="majorHAnsi" w:cstheme="majorHAnsi"/>
        </w:rPr>
        <w:t>ulation</w:t>
      </w:r>
      <w:r w:rsidR="00C54287" w:rsidRPr="0078481B">
        <w:rPr>
          <w:rFonts w:asciiTheme="majorHAnsi" w:hAnsiTheme="majorHAnsi" w:cstheme="majorHAnsi"/>
        </w:rPr>
        <w:t>s</w:t>
      </w:r>
      <w:r w:rsidR="00AB5B67" w:rsidRPr="0078481B">
        <w:rPr>
          <w:rFonts w:asciiTheme="majorHAnsi" w:hAnsiTheme="majorHAnsi" w:cstheme="majorHAnsi"/>
        </w:rPr>
        <w:t xml:space="preserve">, rather than, as in </w:t>
      </w:r>
      <w:r w:rsidR="00AB5B67" w:rsidRPr="0078481B">
        <w:rPr>
          <w:rFonts w:asciiTheme="majorHAnsi" w:hAnsiTheme="majorHAnsi" w:cstheme="majorHAnsi"/>
          <w:i/>
          <w:iCs/>
        </w:rPr>
        <w:t>MJ</w:t>
      </w:r>
      <w:r w:rsidR="00AB5B67" w:rsidRPr="0078481B">
        <w:rPr>
          <w:rFonts w:asciiTheme="majorHAnsi" w:hAnsiTheme="majorHAnsi" w:cstheme="majorHAnsi"/>
        </w:rPr>
        <w:t xml:space="preserve">’s case, a transitional SDP element under reg.63 </w:t>
      </w:r>
      <w:r w:rsidR="00C54287" w:rsidRPr="0078481B">
        <w:rPr>
          <w:rFonts w:asciiTheme="majorHAnsi" w:hAnsiTheme="majorHAnsi" w:cstheme="majorHAnsi"/>
        </w:rPr>
        <w:t>2014 Reg</w:t>
      </w:r>
      <w:r w:rsidR="00C82561" w:rsidRPr="0078481B">
        <w:rPr>
          <w:rFonts w:asciiTheme="majorHAnsi" w:hAnsiTheme="majorHAnsi" w:cstheme="majorHAnsi"/>
        </w:rPr>
        <w:t>ulation</w:t>
      </w:r>
      <w:r w:rsidR="00C54287" w:rsidRPr="0078481B">
        <w:rPr>
          <w:rFonts w:asciiTheme="majorHAnsi" w:hAnsiTheme="majorHAnsi" w:cstheme="majorHAnsi"/>
        </w:rPr>
        <w:t>s</w:t>
      </w:r>
      <w:r w:rsidR="00AB5B67" w:rsidRPr="0078481B">
        <w:rPr>
          <w:rFonts w:asciiTheme="majorHAnsi" w:hAnsiTheme="majorHAnsi" w:cstheme="majorHAnsi"/>
        </w:rPr>
        <w:t>.  However, ‘erosion’</w:t>
      </w:r>
      <w:r w:rsidR="00AB5B67" w:rsidRPr="0078481B">
        <w:rPr>
          <w:rStyle w:val="FootnoteReference"/>
          <w:rFonts w:asciiTheme="majorHAnsi" w:hAnsiTheme="majorHAnsi" w:cstheme="majorHAnsi"/>
        </w:rPr>
        <w:footnoteReference w:id="2"/>
      </w:r>
      <w:r w:rsidR="00AB5B67" w:rsidRPr="0078481B">
        <w:rPr>
          <w:rFonts w:asciiTheme="majorHAnsi" w:hAnsiTheme="majorHAnsi" w:cstheme="majorHAnsi"/>
        </w:rPr>
        <w:t xml:space="preserve"> operates on both of those transitional elements in </w:t>
      </w:r>
      <w:proofErr w:type="gramStart"/>
      <w:r w:rsidR="00AB5B67" w:rsidRPr="0078481B">
        <w:rPr>
          <w:rFonts w:asciiTheme="majorHAnsi" w:hAnsiTheme="majorHAnsi" w:cstheme="majorHAnsi"/>
        </w:rPr>
        <w:t>exactly the same</w:t>
      </w:r>
      <w:proofErr w:type="gramEnd"/>
      <w:r w:rsidR="00AB5B67" w:rsidRPr="0078481B">
        <w:rPr>
          <w:rFonts w:asciiTheme="majorHAnsi" w:hAnsiTheme="majorHAnsi" w:cstheme="majorHAnsi"/>
        </w:rPr>
        <w:t xml:space="preserve"> way – by means of reg.55(2) </w:t>
      </w:r>
      <w:r w:rsidR="00C54287" w:rsidRPr="0078481B">
        <w:rPr>
          <w:rFonts w:asciiTheme="majorHAnsi" w:hAnsiTheme="majorHAnsi" w:cstheme="majorHAnsi"/>
        </w:rPr>
        <w:t>2014 Reg</w:t>
      </w:r>
      <w:r w:rsidR="00046B60" w:rsidRPr="0078481B">
        <w:rPr>
          <w:rFonts w:asciiTheme="majorHAnsi" w:hAnsiTheme="majorHAnsi" w:cstheme="majorHAnsi"/>
        </w:rPr>
        <w:t>ulation</w:t>
      </w:r>
      <w:r w:rsidR="00C54287" w:rsidRPr="0078481B">
        <w:rPr>
          <w:rFonts w:asciiTheme="majorHAnsi" w:hAnsiTheme="majorHAnsi" w:cstheme="majorHAnsi"/>
        </w:rPr>
        <w:t>s</w:t>
      </w:r>
      <w:r w:rsidR="008E295E" w:rsidRPr="0078481B">
        <w:rPr>
          <w:rStyle w:val="FootnoteReference"/>
          <w:rFonts w:asciiTheme="majorHAnsi" w:hAnsiTheme="majorHAnsi" w:cstheme="majorHAnsi"/>
        </w:rPr>
        <w:footnoteReference w:id="3"/>
      </w:r>
      <w:r w:rsidR="008E295E" w:rsidRPr="0078481B">
        <w:rPr>
          <w:rFonts w:asciiTheme="majorHAnsi" w:hAnsiTheme="majorHAnsi" w:cstheme="majorHAnsi"/>
        </w:rPr>
        <w:t>.  Thus</w:t>
      </w:r>
      <w:r w:rsidR="00441ACE">
        <w:rPr>
          <w:rFonts w:asciiTheme="majorHAnsi" w:hAnsiTheme="majorHAnsi" w:cstheme="majorHAnsi"/>
        </w:rPr>
        <w:t>,</w:t>
      </w:r>
      <w:r w:rsidR="008E295E" w:rsidRPr="0078481B">
        <w:rPr>
          <w:rFonts w:asciiTheme="majorHAnsi" w:hAnsiTheme="majorHAnsi" w:cstheme="majorHAnsi"/>
        </w:rPr>
        <w:t xml:space="preserve"> the judgment in </w:t>
      </w:r>
      <w:r w:rsidR="008E295E" w:rsidRPr="0078481B">
        <w:rPr>
          <w:rFonts w:asciiTheme="majorHAnsi" w:hAnsiTheme="majorHAnsi" w:cstheme="majorHAnsi"/>
          <w:i/>
          <w:iCs/>
        </w:rPr>
        <w:t>MJ</w:t>
      </w:r>
      <w:r w:rsidR="008E295E" w:rsidRPr="0078481B">
        <w:rPr>
          <w:rFonts w:asciiTheme="majorHAnsi" w:hAnsiTheme="majorHAnsi" w:cstheme="majorHAnsi"/>
        </w:rPr>
        <w:t xml:space="preserve"> applies equally to the erosion of a managed migration transitional element.</w:t>
      </w:r>
    </w:p>
    <w:p w14:paraId="045F5602" w14:textId="51A27DB6" w:rsidR="008E295E" w:rsidRPr="0078481B" w:rsidRDefault="00475ECE" w:rsidP="00FC7570">
      <w:pPr>
        <w:numPr>
          <w:ilvl w:val="0"/>
          <w:numId w:val="1"/>
        </w:numPr>
        <w:spacing w:before="120" w:line="360" w:lineRule="auto"/>
        <w:jc w:val="both"/>
        <w:rPr>
          <w:rFonts w:asciiTheme="majorHAnsi" w:hAnsiTheme="majorHAnsi" w:cstheme="majorHAnsi"/>
        </w:rPr>
      </w:pPr>
      <w:r w:rsidRPr="0078481B">
        <w:rPr>
          <w:rFonts w:asciiTheme="majorHAnsi" w:hAnsiTheme="majorHAnsi" w:cstheme="majorHAnsi"/>
        </w:rPr>
        <w:t xml:space="preserve">As in </w:t>
      </w:r>
      <w:r w:rsidRPr="0078481B">
        <w:rPr>
          <w:rFonts w:asciiTheme="majorHAnsi" w:hAnsiTheme="majorHAnsi" w:cstheme="majorHAnsi"/>
          <w:i/>
          <w:iCs/>
        </w:rPr>
        <w:t>MJ</w:t>
      </w:r>
      <w:r w:rsidRPr="0078481B">
        <w:rPr>
          <w:rFonts w:asciiTheme="majorHAnsi" w:hAnsiTheme="majorHAnsi" w:cstheme="majorHAnsi"/>
        </w:rPr>
        <w:t xml:space="preserve">, </w:t>
      </w:r>
      <w:r w:rsidR="00CE2963" w:rsidRPr="0078481B">
        <w:rPr>
          <w:rFonts w:asciiTheme="majorHAnsi" w:hAnsiTheme="majorHAnsi" w:cstheme="majorHAnsi"/>
        </w:rPr>
        <w:t>[</w:t>
      </w:r>
      <w:r w:rsidR="00BA52CD" w:rsidRPr="00BA52CD">
        <w:rPr>
          <w:rFonts w:asciiTheme="majorHAnsi" w:hAnsiTheme="majorHAnsi" w:cstheme="majorHAnsi"/>
          <w:color w:val="EE0000"/>
        </w:rPr>
        <w:t>Title. Last Name</w:t>
      </w:r>
      <w:r w:rsidR="00CE2963" w:rsidRPr="0078481B">
        <w:rPr>
          <w:rFonts w:asciiTheme="majorHAnsi" w:hAnsiTheme="majorHAnsi" w:cstheme="majorHAnsi"/>
        </w:rPr>
        <w:t>]</w:t>
      </w:r>
      <w:r w:rsidRPr="0078481B">
        <w:rPr>
          <w:rFonts w:asciiTheme="majorHAnsi" w:hAnsiTheme="majorHAnsi" w:cstheme="majorHAnsi"/>
        </w:rPr>
        <w:t xml:space="preserve">’s UC award </w:t>
      </w:r>
      <w:r w:rsidR="0084435F" w:rsidRPr="0078481B">
        <w:rPr>
          <w:rFonts w:asciiTheme="majorHAnsi" w:hAnsiTheme="majorHAnsi" w:cstheme="majorHAnsi"/>
        </w:rPr>
        <w:t>included</w:t>
      </w:r>
      <w:r w:rsidRPr="0078481B">
        <w:rPr>
          <w:rFonts w:asciiTheme="majorHAnsi" w:hAnsiTheme="majorHAnsi" w:cstheme="majorHAnsi"/>
        </w:rPr>
        <w:t xml:space="preserve"> a carer element of UC.  As in </w:t>
      </w:r>
      <w:r w:rsidRPr="0078481B">
        <w:rPr>
          <w:rFonts w:asciiTheme="majorHAnsi" w:hAnsiTheme="majorHAnsi" w:cstheme="majorHAnsi"/>
          <w:i/>
          <w:iCs/>
        </w:rPr>
        <w:t>MJ</w:t>
      </w:r>
      <w:r w:rsidRPr="0078481B">
        <w:rPr>
          <w:rFonts w:asciiTheme="majorHAnsi" w:hAnsiTheme="majorHAnsi" w:cstheme="majorHAnsi"/>
        </w:rPr>
        <w:t>, the SSWP decided to add a LCWRA element</w:t>
      </w:r>
      <w:r w:rsidR="008A6466" w:rsidRPr="0078481B">
        <w:rPr>
          <w:rFonts w:asciiTheme="majorHAnsi" w:hAnsiTheme="majorHAnsi" w:cstheme="majorHAnsi"/>
        </w:rPr>
        <w:t xml:space="preserve"> to</w:t>
      </w:r>
      <w:r w:rsidRPr="0078481B">
        <w:rPr>
          <w:rFonts w:asciiTheme="majorHAnsi" w:hAnsiTheme="majorHAnsi" w:cstheme="majorHAnsi"/>
        </w:rPr>
        <w:t xml:space="preserve"> </w:t>
      </w:r>
      <w:r w:rsidR="00CE2963" w:rsidRPr="0078481B">
        <w:rPr>
          <w:rFonts w:asciiTheme="majorHAnsi" w:hAnsiTheme="majorHAnsi" w:cstheme="majorHAnsi"/>
        </w:rPr>
        <w:t>[</w:t>
      </w:r>
      <w:r w:rsidR="00441ACE" w:rsidRPr="00441ACE">
        <w:rPr>
          <w:rFonts w:asciiTheme="majorHAnsi" w:hAnsiTheme="majorHAnsi" w:cstheme="majorHAnsi"/>
          <w:color w:val="EE0000"/>
        </w:rPr>
        <w:t>Title. Last Name</w:t>
      </w:r>
      <w:r w:rsidR="00CE2963" w:rsidRPr="0078481B">
        <w:rPr>
          <w:rFonts w:asciiTheme="majorHAnsi" w:hAnsiTheme="majorHAnsi" w:cstheme="majorHAnsi"/>
        </w:rPr>
        <w:t>]</w:t>
      </w:r>
      <w:r w:rsidRPr="0078481B">
        <w:rPr>
          <w:rFonts w:asciiTheme="majorHAnsi" w:hAnsiTheme="majorHAnsi" w:cstheme="majorHAnsi"/>
        </w:rPr>
        <w:t xml:space="preserve">’s UC award and in consequence the carer element of the UC award was removed. As in </w:t>
      </w:r>
      <w:r w:rsidRPr="0078481B">
        <w:rPr>
          <w:rFonts w:asciiTheme="majorHAnsi" w:hAnsiTheme="majorHAnsi" w:cstheme="majorHAnsi"/>
          <w:i/>
          <w:iCs/>
        </w:rPr>
        <w:t>MJ</w:t>
      </w:r>
      <w:r w:rsidRPr="0078481B">
        <w:rPr>
          <w:rFonts w:asciiTheme="majorHAnsi" w:hAnsiTheme="majorHAnsi" w:cstheme="majorHAnsi"/>
        </w:rPr>
        <w:t xml:space="preserve">, the effect of the addition </w:t>
      </w:r>
      <w:r w:rsidR="008E5F69" w:rsidRPr="0078481B">
        <w:rPr>
          <w:rFonts w:asciiTheme="majorHAnsi" w:hAnsiTheme="majorHAnsi" w:cstheme="majorHAnsi"/>
        </w:rPr>
        <w:t xml:space="preserve">of the LCWRA element was to erode </w:t>
      </w:r>
      <w:r w:rsidR="00CE2963" w:rsidRPr="0078481B">
        <w:rPr>
          <w:rFonts w:asciiTheme="majorHAnsi" w:hAnsiTheme="majorHAnsi" w:cstheme="majorHAnsi"/>
        </w:rPr>
        <w:t>[</w:t>
      </w:r>
      <w:r w:rsidR="00441ACE" w:rsidRPr="00441ACE">
        <w:rPr>
          <w:rFonts w:asciiTheme="majorHAnsi" w:hAnsiTheme="majorHAnsi" w:cstheme="majorHAnsi"/>
          <w:color w:val="EE0000"/>
        </w:rPr>
        <w:t>Title. Last Name</w:t>
      </w:r>
      <w:r w:rsidR="00CE2963" w:rsidRPr="0078481B">
        <w:rPr>
          <w:rFonts w:asciiTheme="majorHAnsi" w:hAnsiTheme="majorHAnsi" w:cstheme="majorHAnsi"/>
        </w:rPr>
        <w:t>]</w:t>
      </w:r>
      <w:r w:rsidR="008E5F69" w:rsidRPr="0078481B">
        <w:rPr>
          <w:rFonts w:asciiTheme="majorHAnsi" w:hAnsiTheme="majorHAnsi" w:cstheme="majorHAnsi"/>
        </w:rPr>
        <w:t>’s transitional element with the consequence that</w:t>
      </w:r>
      <w:r w:rsidR="006D6164" w:rsidRPr="0078481B">
        <w:rPr>
          <w:rFonts w:asciiTheme="majorHAnsi" w:hAnsiTheme="majorHAnsi" w:cstheme="majorHAnsi"/>
        </w:rPr>
        <w:t xml:space="preserve"> [</w:t>
      </w:r>
      <w:r w:rsidR="00441ACE" w:rsidRPr="00441ACE">
        <w:rPr>
          <w:rFonts w:asciiTheme="majorHAnsi" w:hAnsiTheme="majorHAnsi" w:cstheme="majorHAnsi"/>
          <w:color w:val="EE0000"/>
        </w:rPr>
        <w:t>s/he</w:t>
      </w:r>
      <w:r w:rsidR="006D6164" w:rsidRPr="0078481B">
        <w:rPr>
          <w:rFonts w:asciiTheme="majorHAnsi" w:hAnsiTheme="majorHAnsi" w:cstheme="majorHAnsi"/>
        </w:rPr>
        <w:t xml:space="preserve">] </w:t>
      </w:r>
      <w:r w:rsidR="008E5F69" w:rsidRPr="0078481B">
        <w:rPr>
          <w:rFonts w:asciiTheme="majorHAnsi" w:hAnsiTheme="majorHAnsi" w:cstheme="majorHAnsi"/>
        </w:rPr>
        <w:t>was worse off after the addition of the LCWRA element to</w:t>
      </w:r>
      <w:r w:rsidR="006D6164" w:rsidRPr="0078481B">
        <w:rPr>
          <w:rFonts w:asciiTheme="majorHAnsi" w:hAnsiTheme="majorHAnsi" w:cstheme="majorHAnsi"/>
        </w:rPr>
        <w:t xml:space="preserve"> [</w:t>
      </w:r>
      <w:r w:rsidR="00441ACE" w:rsidRPr="00441ACE">
        <w:rPr>
          <w:rFonts w:asciiTheme="majorHAnsi" w:hAnsiTheme="majorHAnsi" w:cstheme="majorHAnsi"/>
          <w:color w:val="EE0000"/>
        </w:rPr>
        <w:t>her/his</w:t>
      </w:r>
      <w:r w:rsidR="006D6164" w:rsidRPr="0078481B">
        <w:rPr>
          <w:rFonts w:asciiTheme="majorHAnsi" w:hAnsiTheme="majorHAnsi" w:cstheme="majorHAnsi"/>
        </w:rPr>
        <w:t xml:space="preserve">] </w:t>
      </w:r>
      <w:r w:rsidR="008E5F69" w:rsidRPr="0078481B">
        <w:rPr>
          <w:rFonts w:asciiTheme="majorHAnsi" w:hAnsiTheme="majorHAnsi" w:cstheme="majorHAnsi"/>
        </w:rPr>
        <w:t xml:space="preserve">award. </w:t>
      </w:r>
      <w:r w:rsidR="00CE2963" w:rsidRPr="0078481B">
        <w:rPr>
          <w:rFonts w:asciiTheme="majorHAnsi" w:hAnsiTheme="majorHAnsi" w:cstheme="majorHAnsi"/>
        </w:rPr>
        <w:t>[</w:t>
      </w:r>
      <w:r w:rsidR="00441ACE" w:rsidRPr="00441ACE">
        <w:rPr>
          <w:rFonts w:asciiTheme="majorHAnsi" w:hAnsiTheme="majorHAnsi" w:cstheme="majorHAnsi"/>
          <w:color w:val="EE0000"/>
        </w:rPr>
        <w:t>Title. Last Name</w:t>
      </w:r>
      <w:r w:rsidR="00CE2963" w:rsidRPr="0078481B">
        <w:rPr>
          <w:rFonts w:asciiTheme="majorHAnsi" w:hAnsiTheme="majorHAnsi" w:cstheme="majorHAnsi"/>
        </w:rPr>
        <w:t>]</w:t>
      </w:r>
      <w:r w:rsidR="008E5F69" w:rsidRPr="0078481B">
        <w:rPr>
          <w:rFonts w:asciiTheme="majorHAnsi" w:hAnsiTheme="majorHAnsi" w:cstheme="majorHAnsi"/>
        </w:rPr>
        <w:t xml:space="preserve">’s case is on all-fours with that of </w:t>
      </w:r>
      <w:r w:rsidR="008E5F69" w:rsidRPr="0078481B">
        <w:rPr>
          <w:rFonts w:asciiTheme="majorHAnsi" w:hAnsiTheme="majorHAnsi" w:cstheme="majorHAnsi"/>
          <w:i/>
          <w:iCs/>
        </w:rPr>
        <w:t>MJ</w:t>
      </w:r>
      <w:r w:rsidR="008E5F69" w:rsidRPr="0078481B">
        <w:rPr>
          <w:rFonts w:asciiTheme="majorHAnsi" w:hAnsiTheme="majorHAnsi" w:cstheme="majorHAnsi"/>
        </w:rPr>
        <w:t>.</w:t>
      </w:r>
    </w:p>
    <w:p w14:paraId="4FC56167" w14:textId="03B6F885" w:rsidR="00886F2E" w:rsidRPr="0078481B" w:rsidRDefault="00886F2E" w:rsidP="00FC7570">
      <w:pPr>
        <w:numPr>
          <w:ilvl w:val="0"/>
          <w:numId w:val="1"/>
        </w:numPr>
        <w:spacing w:before="120" w:line="360" w:lineRule="auto"/>
        <w:jc w:val="both"/>
        <w:rPr>
          <w:rFonts w:asciiTheme="majorHAnsi" w:hAnsiTheme="majorHAnsi" w:cstheme="majorHAnsi"/>
        </w:rPr>
      </w:pPr>
      <w:r w:rsidRPr="0078481B">
        <w:rPr>
          <w:rFonts w:asciiTheme="majorHAnsi" w:hAnsiTheme="majorHAnsi" w:cstheme="majorHAnsi"/>
        </w:rPr>
        <w:t xml:space="preserve">UTJ West’s judgment in </w:t>
      </w:r>
      <w:r w:rsidRPr="0078481B">
        <w:rPr>
          <w:rFonts w:asciiTheme="majorHAnsi" w:hAnsiTheme="majorHAnsi" w:cstheme="majorHAnsi"/>
          <w:i/>
          <w:iCs/>
        </w:rPr>
        <w:t>MJ</w:t>
      </w:r>
      <w:r w:rsidRPr="0078481B">
        <w:rPr>
          <w:rFonts w:asciiTheme="majorHAnsi" w:hAnsiTheme="majorHAnsi" w:cstheme="majorHAnsi"/>
        </w:rPr>
        <w:t xml:space="preserve"> held that</w:t>
      </w:r>
      <w:r w:rsidR="00822F4D" w:rsidRPr="0078481B">
        <w:rPr>
          <w:rFonts w:asciiTheme="majorHAnsi" w:hAnsiTheme="majorHAnsi" w:cstheme="majorHAnsi"/>
        </w:rPr>
        <w:t xml:space="preserve"> the erosion of the full amount of MJ’s TSDPE </w:t>
      </w:r>
      <w:r w:rsidR="00EE5CF2" w:rsidRPr="0078481B">
        <w:rPr>
          <w:rFonts w:asciiTheme="majorHAnsi" w:hAnsiTheme="majorHAnsi" w:cstheme="majorHAnsi"/>
        </w:rPr>
        <w:t xml:space="preserve">was </w:t>
      </w:r>
      <w:r w:rsidR="00822F4D" w:rsidRPr="0078481B">
        <w:rPr>
          <w:rFonts w:asciiTheme="majorHAnsi" w:hAnsiTheme="majorHAnsi" w:cstheme="majorHAnsi"/>
        </w:rPr>
        <w:t>discriminatory and contravene</w:t>
      </w:r>
      <w:r w:rsidR="00EE5CF2" w:rsidRPr="0078481B">
        <w:rPr>
          <w:rFonts w:asciiTheme="majorHAnsi" w:hAnsiTheme="majorHAnsi" w:cstheme="majorHAnsi"/>
        </w:rPr>
        <w:t>d</w:t>
      </w:r>
      <w:r w:rsidR="00822F4D" w:rsidRPr="0078481B">
        <w:rPr>
          <w:rFonts w:asciiTheme="majorHAnsi" w:hAnsiTheme="majorHAnsi" w:cstheme="majorHAnsi"/>
        </w:rPr>
        <w:t xml:space="preserve"> her Convention rights. Regulation 55(2)(c) and</w:t>
      </w:r>
      <w:r w:rsidR="00EE5CF2" w:rsidRPr="0078481B">
        <w:rPr>
          <w:rFonts w:asciiTheme="majorHAnsi" w:hAnsiTheme="majorHAnsi" w:cstheme="majorHAnsi"/>
        </w:rPr>
        <w:t xml:space="preserve"> </w:t>
      </w:r>
      <w:r w:rsidR="00822F4D" w:rsidRPr="0078481B">
        <w:rPr>
          <w:rFonts w:asciiTheme="majorHAnsi" w:hAnsiTheme="majorHAnsi" w:cstheme="majorHAnsi"/>
        </w:rPr>
        <w:t xml:space="preserve">Regulation 55(4) of the </w:t>
      </w:r>
      <w:r w:rsidR="00C54287" w:rsidRPr="0078481B">
        <w:rPr>
          <w:rFonts w:asciiTheme="majorHAnsi" w:hAnsiTheme="majorHAnsi" w:cstheme="majorHAnsi"/>
        </w:rPr>
        <w:t>2014 Reg</w:t>
      </w:r>
      <w:r w:rsidR="00943FFA" w:rsidRPr="0078481B">
        <w:rPr>
          <w:rFonts w:asciiTheme="majorHAnsi" w:hAnsiTheme="majorHAnsi" w:cstheme="majorHAnsi"/>
        </w:rPr>
        <w:t>ulation</w:t>
      </w:r>
      <w:r w:rsidR="00C54287" w:rsidRPr="0078481B">
        <w:rPr>
          <w:rFonts w:asciiTheme="majorHAnsi" w:hAnsiTheme="majorHAnsi" w:cstheme="majorHAnsi"/>
        </w:rPr>
        <w:t>s</w:t>
      </w:r>
      <w:r w:rsidR="00EE5CF2" w:rsidRPr="0078481B">
        <w:rPr>
          <w:rFonts w:asciiTheme="majorHAnsi" w:hAnsiTheme="majorHAnsi" w:cstheme="majorHAnsi"/>
        </w:rPr>
        <w:t xml:space="preserve"> were </w:t>
      </w:r>
      <w:r w:rsidR="009A4DCF" w:rsidRPr="0078481B">
        <w:rPr>
          <w:rFonts w:asciiTheme="majorHAnsi" w:hAnsiTheme="majorHAnsi" w:cstheme="majorHAnsi"/>
        </w:rPr>
        <w:t xml:space="preserve">to </w:t>
      </w:r>
      <w:r w:rsidR="00822F4D" w:rsidRPr="0078481B">
        <w:rPr>
          <w:rFonts w:asciiTheme="majorHAnsi" w:hAnsiTheme="majorHAnsi" w:cstheme="majorHAnsi"/>
        </w:rPr>
        <w:t>be interpreted and/or disapplied to</w:t>
      </w:r>
      <w:r w:rsidR="00EE5CF2" w:rsidRPr="0078481B">
        <w:rPr>
          <w:rFonts w:asciiTheme="majorHAnsi" w:hAnsiTheme="majorHAnsi" w:cstheme="majorHAnsi"/>
        </w:rPr>
        <w:t xml:space="preserve"> </w:t>
      </w:r>
      <w:r w:rsidR="00822F4D" w:rsidRPr="0078481B">
        <w:rPr>
          <w:rFonts w:asciiTheme="majorHAnsi" w:hAnsiTheme="majorHAnsi" w:cstheme="majorHAnsi"/>
        </w:rPr>
        <w:t xml:space="preserve">avoid the discriminatory outcome. MJ’s TSDPE </w:t>
      </w:r>
      <w:r w:rsidR="000F2625" w:rsidRPr="0078481B">
        <w:rPr>
          <w:rFonts w:asciiTheme="majorHAnsi" w:hAnsiTheme="majorHAnsi" w:cstheme="majorHAnsi"/>
        </w:rPr>
        <w:t xml:space="preserve">was </w:t>
      </w:r>
      <w:r w:rsidR="00822F4D" w:rsidRPr="0078481B">
        <w:rPr>
          <w:rFonts w:asciiTheme="majorHAnsi" w:hAnsiTheme="majorHAnsi" w:cstheme="majorHAnsi"/>
        </w:rPr>
        <w:t>to be eroded by the difference</w:t>
      </w:r>
      <w:r w:rsidR="00EE5CF2" w:rsidRPr="0078481B">
        <w:rPr>
          <w:rFonts w:asciiTheme="majorHAnsi" w:hAnsiTheme="majorHAnsi" w:cstheme="majorHAnsi"/>
        </w:rPr>
        <w:t xml:space="preserve"> </w:t>
      </w:r>
      <w:r w:rsidR="00822F4D" w:rsidRPr="0078481B">
        <w:rPr>
          <w:rFonts w:asciiTheme="majorHAnsi" w:hAnsiTheme="majorHAnsi" w:cstheme="majorHAnsi"/>
        </w:rPr>
        <w:t xml:space="preserve">between the </w:t>
      </w:r>
      <w:r w:rsidR="000F2625" w:rsidRPr="0078481B">
        <w:rPr>
          <w:rFonts w:asciiTheme="majorHAnsi" w:hAnsiTheme="majorHAnsi" w:cstheme="majorHAnsi"/>
        </w:rPr>
        <w:t xml:space="preserve">CE </w:t>
      </w:r>
      <w:r w:rsidR="00822F4D" w:rsidRPr="0078481B">
        <w:rPr>
          <w:rFonts w:asciiTheme="majorHAnsi" w:hAnsiTheme="majorHAnsi" w:cstheme="majorHAnsi"/>
        </w:rPr>
        <w:t>of UC and the LCWRA element of UC from the</w:t>
      </w:r>
      <w:r w:rsidR="00EE5CF2" w:rsidRPr="0078481B">
        <w:rPr>
          <w:rFonts w:asciiTheme="majorHAnsi" w:hAnsiTheme="majorHAnsi" w:cstheme="majorHAnsi"/>
        </w:rPr>
        <w:t xml:space="preserve"> </w:t>
      </w:r>
      <w:r w:rsidR="00822F4D" w:rsidRPr="0078481B">
        <w:rPr>
          <w:rFonts w:asciiTheme="majorHAnsi" w:hAnsiTheme="majorHAnsi" w:cstheme="majorHAnsi"/>
        </w:rPr>
        <w:t xml:space="preserve">assessment period </w:t>
      </w:r>
      <w:r w:rsidR="000F2625" w:rsidRPr="0078481B">
        <w:rPr>
          <w:rFonts w:asciiTheme="majorHAnsi" w:hAnsiTheme="majorHAnsi" w:cstheme="majorHAnsi"/>
        </w:rPr>
        <w:t>in which the LCWRA was added to the calculation of the award</w:t>
      </w:r>
      <w:r w:rsidR="00822F4D" w:rsidRPr="0078481B">
        <w:rPr>
          <w:rFonts w:asciiTheme="majorHAnsi" w:hAnsiTheme="majorHAnsi" w:cstheme="majorHAnsi"/>
        </w:rPr>
        <w:t xml:space="preserve"> and for each</w:t>
      </w:r>
      <w:r w:rsidR="00EE5CF2" w:rsidRPr="0078481B">
        <w:rPr>
          <w:rFonts w:asciiTheme="majorHAnsi" w:hAnsiTheme="majorHAnsi" w:cstheme="majorHAnsi"/>
        </w:rPr>
        <w:t xml:space="preserve"> </w:t>
      </w:r>
      <w:r w:rsidR="00822F4D" w:rsidRPr="0078481B">
        <w:rPr>
          <w:rFonts w:asciiTheme="majorHAnsi" w:hAnsiTheme="majorHAnsi" w:cstheme="majorHAnsi"/>
        </w:rPr>
        <w:t>subsequent assessment period</w:t>
      </w:r>
      <w:r w:rsidR="005641F9" w:rsidRPr="0078481B">
        <w:rPr>
          <w:rFonts w:asciiTheme="majorHAnsi" w:hAnsiTheme="majorHAnsi" w:cstheme="majorHAnsi"/>
        </w:rPr>
        <w:t>.</w:t>
      </w:r>
    </w:p>
    <w:p w14:paraId="5219C43D" w14:textId="77777777" w:rsidR="006250C5" w:rsidRPr="0078481B" w:rsidRDefault="006250C5" w:rsidP="006250C5">
      <w:pPr>
        <w:spacing w:before="120" w:line="360" w:lineRule="auto"/>
        <w:jc w:val="both"/>
        <w:rPr>
          <w:rFonts w:asciiTheme="majorHAnsi" w:hAnsiTheme="majorHAnsi" w:cstheme="majorHAnsi"/>
        </w:rPr>
      </w:pPr>
    </w:p>
    <w:p w14:paraId="4F8160D9" w14:textId="66A63DD9" w:rsidR="006250C5" w:rsidRPr="0078481B" w:rsidRDefault="006250C5" w:rsidP="00FC7570">
      <w:pPr>
        <w:spacing w:before="120" w:line="360" w:lineRule="auto"/>
        <w:jc w:val="both"/>
        <w:rPr>
          <w:rFonts w:asciiTheme="majorHAnsi" w:hAnsiTheme="majorHAnsi" w:cstheme="majorHAnsi"/>
          <w:i/>
          <w:iCs/>
          <w:u w:val="single"/>
        </w:rPr>
      </w:pPr>
      <w:r w:rsidRPr="0078481B">
        <w:rPr>
          <w:rFonts w:asciiTheme="majorHAnsi" w:hAnsiTheme="majorHAnsi" w:cstheme="majorHAnsi"/>
          <w:i/>
          <w:iCs/>
          <w:u w:val="single"/>
        </w:rPr>
        <w:t>SSWP approach is wrong but hints at the real issue</w:t>
      </w:r>
      <w:r w:rsidR="00CD4AA6" w:rsidRPr="0078481B">
        <w:rPr>
          <w:rFonts w:asciiTheme="majorHAnsi" w:hAnsiTheme="majorHAnsi" w:cstheme="majorHAnsi"/>
          <w:i/>
          <w:iCs/>
          <w:u w:val="single"/>
        </w:rPr>
        <w:t xml:space="preserve"> [</w:t>
      </w:r>
      <w:r w:rsidR="00537B7A" w:rsidRPr="00441ACE">
        <w:rPr>
          <w:rFonts w:asciiTheme="majorHAnsi" w:hAnsiTheme="majorHAnsi" w:cstheme="majorHAnsi"/>
          <w:i/>
          <w:iCs/>
          <w:color w:val="EE0000"/>
          <w:u w:val="single"/>
        </w:rPr>
        <w:t>edit this subtitle and paras 16 &amp; 17 as appropriate. This section is in reply to the SSWP response in the case for which this document was initially drafted</w:t>
      </w:r>
      <w:r w:rsidR="00CD4AA6" w:rsidRPr="0078481B">
        <w:rPr>
          <w:rFonts w:asciiTheme="majorHAnsi" w:hAnsiTheme="majorHAnsi" w:cstheme="majorHAnsi"/>
          <w:i/>
          <w:iCs/>
          <w:u w:val="single"/>
        </w:rPr>
        <w:t>]</w:t>
      </w:r>
    </w:p>
    <w:p w14:paraId="0B6D1E9F" w14:textId="0EF36E57" w:rsidR="00F31E74" w:rsidRPr="0078481B" w:rsidRDefault="0052006A" w:rsidP="00FC7570">
      <w:pPr>
        <w:numPr>
          <w:ilvl w:val="0"/>
          <w:numId w:val="1"/>
        </w:numPr>
        <w:spacing w:before="120" w:line="360" w:lineRule="auto"/>
        <w:jc w:val="both"/>
        <w:rPr>
          <w:rFonts w:asciiTheme="majorHAnsi" w:hAnsiTheme="majorHAnsi" w:cstheme="majorHAnsi"/>
        </w:rPr>
      </w:pPr>
      <w:r w:rsidRPr="0078481B">
        <w:rPr>
          <w:rFonts w:asciiTheme="majorHAnsi" w:hAnsiTheme="majorHAnsi" w:cstheme="majorHAnsi"/>
        </w:rPr>
        <w:t xml:space="preserve">When </w:t>
      </w:r>
      <w:r w:rsidR="00CE2963" w:rsidRPr="0078481B">
        <w:rPr>
          <w:rFonts w:asciiTheme="majorHAnsi" w:hAnsiTheme="majorHAnsi" w:cstheme="majorHAnsi"/>
        </w:rPr>
        <w:t>[</w:t>
      </w:r>
      <w:r w:rsidR="00537B7A" w:rsidRPr="00537B7A">
        <w:rPr>
          <w:rFonts w:asciiTheme="majorHAnsi" w:hAnsiTheme="majorHAnsi" w:cstheme="majorHAnsi"/>
          <w:color w:val="EE0000"/>
        </w:rPr>
        <w:t>Title. Last Name</w:t>
      </w:r>
      <w:r w:rsidR="00CE2963" w:rsidRPr="0078481B">
        <w:rPr>
          <w:rFonts w:asciiTheme="majorHAnsi" w:hAnsiTheme="majorHAnsi" w:cstheme="majorHAnsi"/>
        </w:rPr>
        <w:t>]</w:t>
      </w:r>
      <w:r w:rsidRPr="0078481B">
        <w:rPr>
          <w:rFonts w:asciiTheme="majorHAnsi" w:hAnsiTheme="majorHAnsi" w:cstheme="majorHAnsi"/>
        </w:rPr>
        <w:t xml:space="preserve">’s representative brought the case of </w:t>
      </w:r>
      <w:r w:rsidRPr="0078481B">
        <w:rPr>
          <w:rFonts w:asciiTheme="majorHAnsi" w:hAnsiTheme="majorHAnsi" w:cstheme="majorHAnsi"/>
          <w:i/>
          <w:iCs/>
        </w:rPr>
        <w:t xml:space="preserve">MJ </w:t>
      </w:r>
      <w:r w:rsidR="0034774C" w:rsidRPr="0078481B">
        <w:rPr>
          <w:rFonts w:asciiTheme="majorHAnsi" w:hAnsiTheme="majorHAnsi" w:cstheme="majorHAnsi"/>
        </w:rPr>
        <w:t xml:space="preserve">to the SSWP’s attention </w:t>
      </w:r>
      <w:r w:rsidR="00AB1156" w:rsidRPr="0078481B">
        <w:rPr>
          <w:rFonts w:asciiTheme="majorHAnsi" w:hAnsiTheme="majorHAnsi" w:cstheme="majorHAnsi"/>
        </w:rPr>
        <w:t>she</w:t>
      </w:r>
      <w:r w:rsidR="00D17B53" w:rsidRPr="0078481B">
        <w:rPr>
          <w:rFonts w:asciiTheme="majorHAnsi" w:hAnsiTheme="majorHAnsi" w:cstheme="majorHAnsi"/>
        </w:rPr>
        <w:t xml:space="preserve"> dismissed its relevan</w:t>
      </w:r>
      <w:r w:rsidR="003B5E49" w:rsidRPr="0078481B">
        <w:rPr>
          <w:rFonts w:asciiTheme="majorHAnsi" w:hAnsiTheme="majorHAnsi" w:cstheme="majorHAnsi"/>
        </w:rPr>
        <w:t>ce</w:t>
      </w:r>
      <w:r w:rsidR="00D17B53" w:rsidRPr="0078481B">
        <w:rPr>
          <w:rFonts w:asciiTheme="majorHAnsi" w:hAnsiTheme="majorHAnsi" w:cstheme="majorHAnsi"/>
        </w:rPr>
        <w:t>.  The SSWP response</w:t>
      </w:r>
      <w:r w:rsidR="008B34CB" w:rsidRPr="0078481B">
        <w:rPr>
          <w:rFonts w:asciiTheme="majorHAnsi" w:hAnsiTheme="majorHAnsi" w:cstheme="majorHAnsi"/>
        </w:rPr>
        <w:t xml:space="preserve"> refers, erroneously, to the judgment in </w:t>
      </w:r>
      <w:r w:rsidR="008B34CB" w:rsidRPr="0078481B">
        <w:rPr>
          <w:rFonts w:asciiTheme="majorHAnsi" w:hAnsiTheme="majorHAnsi" w:cstheme="majorHAnsi"/>
          <w:i/>
          <w:iCs/>
        </w:rPr>
        <w:t>MJ</w:t>
      </w:r>
      <w:r w:rsidR="008B34CB" w:rsidRPr="0078481B">
        <w:rPr>
          <w:rFonts w:asciiTheme="majorHAnsi" w:hAnsiTheme="majorHAnsi" w:cstheme="majorHAnsi"/>
        </w:rPr>
        <w:t xml:space="preserve"> as legislation </w:t>
      </w:r>
      <w:r w:rsidR="003B5E49" w:rsidRPr="0078481B">
        <w:rPr>
          <w:rFonts w:asciiTheme="majorHAnsi" w:hAnsiTheme="majorHAnsi" w:cstheme="majorHAnsi"/>
        </w:rPr>
        <w:t>and states that the ‘change’ did not apply</w:t>
      </w:r>
      <w:r w:rsidR="00C0236E" w:rsidRPr="0078481B">
        <w:rPr>
          <w:rFonts w:asciiTheme="majorHAnsi" w:hAnsiTheme="majorHAnsi" w:cstheme="majorHAnsi"/>
        </w:rPr>
        <w:t xml:space="preserve"> </w:t>
      </w:r>
      <w:r w:rsidR="0035706F" w:rsidRPr="0078481B">
        <w:rPr>
          <w:rFonts w:asciiTheme="majorHAnsi" w:hAnsiTheme="majorHAnsi" w:cstheme="majorHAnsi"/>
        </w:rPr>
        <w:t>as the decision (i.e. the supersession decision under appeal</w:t>
      </w:r>
      <w:r w:rsidR="00B31F63" w:rsidRPr="0078481B">
        <w:rPr>
          <w:rFonts w:asciiTheme="majorHAnsi" w:hAnsiTheme="majorHAnsi" w:cstheme="majorHAnsi"/>
        </w:rPr>
        <w:t>)</w:t>
      </w:r>
      <w:r w:rsidR="0035706F" w:rsidRPr="0078481B">
        <w:rPr>
          <w:rFonts w:asciiTheme="majorHAnsi" w:hAnsiTheme="majorHAnsi" w:cstheme="majorHAnsi"/>
        </w:rPr>
        <w:t xml:space="preserve"> </w:t>
      </w:r>
      <w:r w:rsidR="008F6EAC" w:rsidRPr="0078481B">
        <w:rPr>
          <w:rFonts w:asciiTheme="majorHAnsi" w:hAnsiTheme="majorHAnsi" w:cstheme="majorHAnsi"/>
        </w:rPr>
        <w:t>‘</w:t>
      </w:r>
      <w:r w:rsidR="0035706F" w:rsidRPr="0078481B">
        <w:rPr>
          <w:rFonts w:asciiTheme="majorHAnsi" w:hAnsiTheme="majorHAnsi" w:cstheme="majorHAnsi"/>
        </w:rPr>
        <w:t xml:space="preserve">was made prior to the </w:t>
      </w:r>
      <w:r w:rsidR="008F6EAC" w:rsidRPr="0078481B">
        <w:rPr>
          <w:rFonts w:asciiTheme="majorHAnsi" w:hAnsiTheme="majorHAnsi" w:cstheme="majorHAnsi"/>
        </w:rPr>
        <w:t xml:space="preserve">date </w:t>
      </w:r>
      <w:r w:rsidR="00394783" w:rsidRPr="0078481B">
        <w:rPr>
          <w:rFonts w:asciiTheme="majorHAnsi" w:hAnsiTheme="majorHAnsi" w:cstheme="majorHAnsi"/>
        </w:rPr>
        <w:t xml:space="preserve">the change in legislation occurred’. </w:t>
      </w:r>
      <w:r w:rsidR="00A27354" w:rsidRPr="0078481B">
        <w:rPr>
          <w:rFonts w:asciiTheme="majorHAnsi" w:hAnsiTheme="majorHAnsi" w:cstheme="majorHAnsi"/>
        </w:rPr>
        <w:t xml:space="preserve">That statement is wrong </w:t>
      </w:r>
      <w:r w:rsidR="00F31E74" w:rsidRPr="0078481B">
        <w:rPr>
          <w:rFonts w:asciiTheme="majorHAnsi" w:hAnsiTheme="majorHAnsi" w:cstheme="majorHAnsi"/>
        </w:rPr>
        <w:t>for two reasons:</w:t>
      </w:r>
    </w:p>
    <w:p w14:paraId="0A4E24F7" w14:textId="38857838" w:rsidR="002E67F0" w:rsidRPr="0078481B" w:rsidRDefault="00F31E74" w:rsidP="003925A1">
      <w:pPr>
        <w:numPr>
          <w:ilvl w:val="1"/>
          <w:numId w:val="1"/>
        </w:numPr>
        <w:spacing w:before="120" w:line="360" w:lineRule="auto"/>
        <w:jc w:val="both"/>
        <w:rPr>
          <w:rFonts w:asciiTheme="majorHAnsi" w:hAnsiTheme="majorHAnsi" w:cstheme="majorHAnsi"/>
        </w:rPr>
      </w:pPr>
      <w:r w:rsidRPr="0078481B">
        <w:rPr>
          <w:rFonts w:asciiTheme="majorHAnsi" w:hAnsiTheme="majorHAnsi" w:cstheme="majorHAnsi"/>
        </w:rPr>
        <w:t>f</w:t>
      </w:r>
      <w:r w:rsidR="00A27354" w:rsidRPr="0078481B">
        <w:rPr>
          <w:rFonts w:asciiTheme="majorHAnsi" w:hAnsiTheme="majorHAnsi" w:cstheme="majorHAnsi"/>
        </w:rPr>
        <w:t>irstly,</w:t>
      </w:r>
      <w:r w:rsidRPr="0078481B">
        <w:rPr>
          <w:rFonts w:asciiTheme="majorHAnsi" w:hAnsiTheme="majorHAnsi" w:cstheme="majorHAnsi"/>
        </w:rPr>
        <w:t xml:space="preserve"> because</w:t>
      </w:r>
      <w:r w:rsidR="00A27354" w:rsidRPr="0078481B">
        <w:rPr>
          <w:rFonts w:asciiTheme="majorHAnsi" w:hAnsiTheme="majorHAnsi" w:cstheme="majorHAnsi"/>
        </w:rPr>
        <w:t xml:space="preserve"> </w:t>
      </w:r>
      <w:r w:rsidRPr="0078481B">
        <w:rPr>
          <w:rFonts w:asciiTheme="majorHAnsi" w:hAnsiTheme="majorHAnsi" w:cstheme="majorHAnsi"/>
        </w:rPr>
        <w:t xml:space="preserve">the </w:t>
      </w:r>
      <w:r w:rsidRPr="0078481B">
        <w:rPr>
          <w:rFonts w:asciiTheme="majorHAnsi" w:hAnsiTheme="majorHAnsi" w:cstheme="majorHAnsi"/>
          <w:i/>
          <w:iCs/>
        </w:rPr>
        <w:t xml:space="preserve">MJ </w:t>
      </w:r>
      <w:r w:rsidRPr="0078481B">
        <w:rPr>
          <w:rFonts w:asciiTheme="majorHAnsi" w:hAnsiTheme="majorHAnsi" w:cstheme="majorHAnsi"/>
        </w:rPr>
        <w:t xml:space="preserve">case was not </w:t>
      </w:r>
      <w:r w:rsidR="002E67F0" w:rsidRPr="0078481B">
        <w:rPr>
          <w:rFonts w:asciiTheme="majorHAnsi" w:hAnsiTheme="majorHAnsi" w:cstheme="majorHAnsi"/>
        </w:rPr>
        <w:t>“</w:t>
      </w:r>
      <w:r w:rsidRPr="0078481B">
        <w:rPr>
          <w:rFonts w:asciiTheme="majorHAnsi" w:hAnsiTheme="majorHAnsi" w:cstheme="majorHAnsi"/>
        </w:rPr>
        <w:t>legislation</w:t>
      </w:r>
      <w:r w:rsidR="002E67F0" w:rsidRPr="0078481B">
        <w:rPr>
          <w:rFonts w:asciiTheme="majorHAnsi" w:hAnsiTheme="majorHAnsi" w:cstheme="majorHAnsi"/>
        </w:rPr>
        <w:t>”</w:t>
      </w:r>
      <w:r w:rsidRPr="0078481B">
        <w:rPr>
          <w:rFonts w:asciiTheme="majorHAnsi" w:hAnsiTheme="majorHAnsi" w:cstheme="majorHAnsi"/>
        </w:rPr>
        <w:t xml:space="preserve"> but rather a testcase</w:t>
      </w:r>
      <w:r w:rsidR="00E77A14" w:rsidRPr="0078481B">
        <w:rPr>
          <w:rFonts w:asciiTheme="majorHAnsi" w:hAnsiTheme="majorHAnsi" w:cstheme="majorHAnsi"/>
        </w:rPr>
        <w:t>;</w:t>
      </w:r>
      <w:r w:rsidRPr="0078481B">
        <w:rPr>
          <w:rFonts w:asciiTheme="majorHAnsi" w:hAnsiTheme="majorHAnsi" w:cstheme="majorHAnsi"/>
        </w:rPr>
        <w:t xml:space="preserve"> </w:t>
      </w:r>
    </w:p>
    <w:p w14:paraId="0C6EA128" w14:textId="59F598C3" w:rsidR="002E67F0" w:rsidRPr="0078481B" w:rsidRDefault="00E77A14" w:rsidP="003925A1">
      <w:pPr>
        <w:numPr>
          <w:ilvl w:val="1"/>
          <w:numId w:val="1"/>
        </w:numPr>
        <w:spacing w:before="120" w:line="360" w:lineRule="auto"/>
        <w:jc w:val="both"/>
        <w:rPr>
          <w:rFonts w:asciiTheme="majorHAnsi" w:hAnsiTheme="majorHAnsi" w:cstheme="majorHAnsi"/>
        </w:rPr>
      </w:pPr>
      <w:r w:rsidRPr="0078481B">
        <w:rPr>
          <w:rFonts w:asciiTheme="majorHAnsi" w:hAnsiTheme="majorHAnsi" w:cstheme="majorHAnsi"/>
        </w:rPr>
        <w:t>s</w:t>
      </w:r>
      <w:r w:rsidR="002E67F0" w:rsidRPr="0078481B">
        <w:rPr>
          <w:rFonts w:asciiTheme="majorHAnsi" w:hAnsiTheme="majorHAnsi" w:cstheme="majorHAnsi"/>
        </w:rPr>
        <w:t xml:space="preserve">econdly, the </w:t>
      </w:r>
      <w:r w:rsidR="002E67F0" w:rsidRPr="0078481B">
        <w:rPr>
          <w:rFonts w:asciiTheme="majorHAnsi" w:hAnsiTheme="majorHAnsi" w:cstheme="majorHAnsi"/>
          <w:i/>
          <w:iCs/>
        </w:rPr>
        <w:t xml:space="preserve">MJ </w:t>
      </w:r>
      <w:r w:rsidR="002E67F0" w:rsidRPr="0078481B">
        <w:rPr>
          <w:rFonts w:asciiTheme="majorHAnsi" w:hAnsiTheme="majorHAnsi" w:cstheme="majorHAnsi"/>
        </w:rPr>
        <w:t>case did not bring about a “change” to the law but rather pronounced what the law had always been. T</w:t>
      </w:r>
      <w:r w:rsidR="00A27354" w:rsidRPr="0078481B">
        <w:rPr>
          <w:rFonts w:asciiTheme="majorHAnsi" w:hAnsiTheme="majorHAnsi" w:cstheme="majorHAnsi"/>
        </w:rPr>
        <w:t xml:space="preserve">hat in deciding testcases about the meaning of statutes the Courts and Tribunals </w:t>
      </w:r>
      <w:r w:rsidR="00A27354" w:rsidRPr="0078481B">
        <w:rPr>
          <w:rFonts w:asciiTheme="majorHAnsi" w:hAnsiTheme="majorHAnsi" w:cstheme="majorHAnsi"/>
          <w:i/>
          <w:iCs/>
        </w:rPr>
        <w:t xml:space="preserve">discover what the law has always been rather than changing the law </w:t>
      </w:r>
      <w:r w:rsidR="00A27354" w:rsidRPr="0078481B">
        <w:rPr>
          <w:rFonts w:asciiTheme="majorHAnsi" w:hAnsiTheme="majorHAnsi" w:cstheme="majorHAnsi"/>
        </w:rPr>
        <w:t xml:space="preserve">is a basic principle for which no authority is needed) </w:t>
      </w:r>
    </w:p>
    <w:p w14:paraId="431E2C47" w14:textId="10175B8E" w:rsidR="00F7176E" w:rsidRPr="0078481B" w:rsidRDefault="00394783" w:rsidP="003925A1">
      <w:pPr>
        <w:numPr>
          <w:ilvl w:val="0"/>
          <w:numId w:val="1"/>
        </w:numPr>
        <w:spacing w:before="120" w:line="360" w:lineRule="auto"/>
        <w:jc w:val="both"/>
        <w:rPr>
          <w:rFonts w:asciiTheme="majorHAnsi" w:hAnsiTheme="majorHAnsi" w:cstheme="majorHAnsi"/>
        </w:rPr>
      </w:pPr>
      <w:r w:rsidRPr="0078481B">
        <w:rPr>
          <w:rFonts w:asciiTheme="majorHAnsi" w:hAnsiTheme="majorHAnsi" w:cstheme="majorHAnsi"/>
        </w:rPr>
        <w:t xml:space="preserve">In so far as it is possible to discern meaning </w:t>
      </w:r>
      <w:r w:rsidR="00A76D32" w:rsidRPr="0078481B">
        <w:rPr>
          <w:rFonts w:asciiTheme="majorHAnsi" w:hAnsiTheme="majorHAnsi" w:cstheme="majorHAnsi"/>
        </w:rPr>
        <w:t xml:space="preserve">from the SSWP’s </w:t>
      </w:r>
      <w:r w:rsidR="006D1121">
        <w:rPr>
          <w:rFonts w:asciiTheme="majorHAnsi" w:hAnsiTheme="majorHAnsi" w:cstheme="majorHAnsi"/>
        </w:rPr>
        <w:t>misconceived</w:t>
      </w:r>
      <w:r w:rsidR="00D60158" w:rsidRPr="0078481B">
        <w:rPr>
          <w:rFonts w:asciiTheme="majorHAnsi" w:hAnsiTheme="majorHAnsi" w:cstheme="majorHAnsi"/>
        </w:rPr>
        <w:t>, if brief,</w:t>
      </w:r>
      <w:r w:rsidR="00A76D32" w:rsidRPr="0078481B">
        <w:rPr>
          <w:rFonts w:asciiTheme="majorHAnsi" w:hAnsiTheme="majorHAnsi" w:cstheme="majorHAnsi"/>
        </w:rPr>
        <w:t xml:space="preserve"> response </w:t>
      </w:r>
      <w:r w:rsidR="00D60158" w:rsidRPr="0078481B">
        <w:rPr>
          <w:rFonts w:asciiTheme="majorHAnsi" w:hAnsiTheme="majorHAnsi" w:cstheme="majorHAnsi"/>
        </w:rPr>
        <w:t xml:space="preserve">regarding this point </w:t>
      </w:r>
      <w:r w:rsidR="00A76D32" w:rsidRPr="0078481B">
        <w:rPr>
          <w:rFonts w:asciiTheme="majorHAnsi" w:hAnsiTheme="majorHAnsi" w:cstheme="majorHAnsi"/>
        </w:rPr>
        <w:t xml:space="preserve">it appears that the SSWP is alluding </w:t>
      </w:r>
      <w:r w:rsidR="00D60158" w:rsidRPr="0078481B">
        <w:rPr>
          <w:rFonts w:asciiTheme="majorHAnsi" w:hAnsiTheme="majorHAnsi" w:cstheme="majorHAnsi"/>
        </w:rPr>
        <w:t>to the ‘anti-test case</w:t>
      </w:r>
      <w:r w:rsidR="0020796A" w:rsidRPr="0078481B">
        <w:rPr>
          <w:rFonts w:asciiTheme="majorHAnsi" w:hAnsiTheme="majorHAnsi" w:cstheme="majorHAnsi"/>
        </w:rPr>
        <w:t xml:space="preserve"> rule’.</w:t>
      </w:r>
      <w:r w:rsidR="009C1F51" w:rsidRPr="0078481B">
        <w:rPr>
          <w:rFonts w:asciiTheme="majorHAnsi" w:hAnsiTheme="majorHAnsi" w:cstheme="majorHAnsi"/>
        </w:rPr>
        <w:t xml:space="preserve"> </w:t>
      </w:r>
    </w:p>
    <w:p w14:paraId="6971D03E" w14:textId="4B0BB29B" w:rsidR="005D3816" w:rsidRPr="0078481B" w:rsidRDefault="009C1F51" w:rsidP="003925A1">
      <w:pPr>
        <w:numPr>
          <w:ilvl w:val="0"/>
          <w:numId w:val="1"/>
        </w:numPr>
        <w:spacing w:before="120" w:line="360" w:lineRule="auto"/>
        <w:jc w:val="both"/>
        <w:rPr>
          <w:rFonts w:asciiTheme="majorHAnsi" w:hAnsiTheme="majorHAnsi" w:cstheme="majorHAnsi"/>
        </w:rPr>
      </w:pPr>
      <w:r w:rsidRPr="0078481B">
        <w:rPr>
          <w:rFonts w:asciiTheme="majorHAnsi" w:hAnsiTheme="majorHAnsi" w:cstheme="majorHAnsi"/>
        </w:rPr>
        <w:t xml:space="preserve">As Underhill LJ said in </w:t>
      </w:r>
      <w:r w:rsidRPr="0078481B">
        <w:rPr>
          <w:rFonts w:asciiTheme="majorHAnsi" w:hAnsiTheme="majorHAnsi" w:cstheme="majorHAnsi"/>
          <w:i/>
          <w:iCs/>
        </w:rPr>
        <w:t xml:space="preserve">SSWP v Reilly </w:t>
      </w:r>
      <w:r w:rsidRPr="0078481B">
        <w:rPr>
          <w:rFonts w:asciiTheme="majorHAnsi" w:hAnsiTheme="majorHAnsi" w:cstheme="majorHAnsi"/>
        </w:rPr>
        <w:t xml:space="preserve">[2016] </w:t>
      </w:r>
      <w:r w:rsidR="004B583D" w:rsidRPr="0078481B">
        <w:rPr>
          <w:rFonts w:asciiTheme="majorHAnsi" w:hAnsiTheme="majorHAnsi" w:cstheme="majorHAnsi"/>
        </w:rPr>
        <w:t xml:space="preserve">EWCA </w:t>
      </w:r>
      <w:proofErr w:type="spellStart"/>
      <w:r w:rsidR="004B583D" w:rsidRPr="0078481B">
        <w:rPr>
          <w:rFonts w:asciiTheme="majorHAnsi" w:hAnsiTheme="majorHAnsi" w:cstheme="majorHAnsi"/>
        </w:rPr>
        <w:t>Civ</w:t>
      </w:r>
      <w:proofErr w:type="spellEnd"/>
      <w:r w:rsidR="004B583D" w:rsidRPr="0078481B">
        <w:rPr>
          <w:rFonts w:asciiTheme="majorHAnsi" w:hAnsiTheme="majorHAnsi" w:cstheme="majorHAnsi"/>
        </w:rPr>
        <w:t xml:space="preserve"> 413, this is a rule within the social security system which, where it applies</w:t>
      </w:r>
      <w:r w:rsidR="00C70FC8" w:rsidRPr="0078481B">
        <w:rPr>
          <w:rFonts w:asciiTheme="majorHAnsi" w:hAnsiTheme="majorHAnsi" w:cstheme="majorHAnsi"/>
        </w:rPr>
        <w:t>,</w:t>
      </w:r>
      <w:r w:rsidR="000D1FCA" w:rsidRPr="0078481B">
        <w:rPr>
          <w:rFonts w:asciiTheme="majorHAnsi" w:hAnsiTheme="majorHAnsi" w:cstheme="majorHAnsi"/>
        </w:rPr>
        <w:t xml:space="preserve"> means that “</w:t>
      </w:r>
      <w:r w:rsidR="000D1FCA" w:rsidRPr="00537B7A">
        <w:rPr>
          <w:rFonts w:asciiTheme="majorHAnsi" w:hAnsiTheme="majorHAnsi" w:cstheme="majorHAnsi"/>
          <w:i/>
          <w:iCs/>
        </w:rPr>
        <w:t>the usual rule that the decision of the court establishes what the law has always been does not apply</w:t>
      </w:r>
      <w:r w:rsidR="000D1FCA" w:rsidRPr="0078481B">
        <w:rPr>
          <w:rFonts w:asciiTheme="majorHAnsi" w:hAnsiTheme="majorHAnsi" w:cstheme="majorHAnsi"/>
        </w:rPr>
        <w:t xml:space="preserve">”. </w:t>
      </w:r>
      <w:r w:rsidR="006250C5" w:rsidRPr="0078481B">
        <w:rPr>
          <w:rFonts w:asciiTheme="majorHAnsi" w:hAnsiTheme="majorHAnsi" w:cstheme="majorHAnsi"/>
        </w:rPr>
        <w:t xml:space="preserve">The question for the Tribunal in the present case is whether the anti-testcase rule bites on the decision against which </w:t>
      </w:r>
      <w:r w:rsidR="00CE2963" w:rsidRPr="0078481B">
        <w:rPr>
          <w:rFonts w:asciiTheme="majorHAnsi" w:hAnsiTheme="majorHAnsi" w:cstheme="majorHAnsi"/>
        </w:rPr>
        <w:t>[</w:t>
      </w:r>
      <w:r w:rsidR="00537B7A" w:rsidRPr="00537B7A">
        <w:rPr>
          <w:rFonts w:asciiTheme="majorHAnsi" w:hAnsiTheme="majorHAnsi" w:cstheme="majorHAnsi"/>
          <w:color w:val="EE0000"/>
        </w:rPr>
        <w:t>Title. Last Name</w:t>
      </w:r>
      <w:r w:rsidR="00CE2963" w:rsidRPr="0078481B">
        <w:rPr>
          <w:rFonts w:asciiTheme="majorHAnsi" w:hAnsiTheme="majorHAnsi" w:cstheme="majorHAnsi"/>
        </w:rPr>
        <w:t>]</w:t>
      </w:r>
      <w:r w:rsidR="006250C5" w:rsidRPr="0078481B">
        <w:rPr>
          <w:rFonts w:asciiTheme="majorHAnsi" w:hAnsiTheme="majorHAnsi" w:cstheme="majorHAnsi"/>
        </w:rPr>
        <w:t xml:space="preserve"> </w:t>
      </w:r>
      <w:r w:rsidR="00E4634D" w:rsidRPr="0078481B">
        <w:rPr>
          <w:rFonts w:asciiTheme="majorHAnsi" w:hAnsiTheme="majorHAnsi" w:cstheme="majorHAnsi"/>
        </w:rPr>
        <w:t>has appealed</w:t>
      </w:r>
      <w:r w:rsidR="00C70FC8" w:rsidRPr="0078481B">
        <w:rPr>
          <w:rFonts w:asciiTheme="majorHAnsi" w:hAnsiTheme="majorHAnsi" w:cstheme="majorHAnsi"/>
        </w:rPr>
        <w:t xml:space="preserve"> </w:t>
      </w:r>
      <w:r w:rsidR="006250C5" w:rsidRPr="0078481B">
        <w:rPr>
          <w:rFonts w:asciiTheme="majorHAnsi" w:hAnsiTheme="majorHAnsi" w:cstheme="majorHAnsi"/>
        </w:rPr>
        <w:t xml:space="preserve">- </w:t>
      </w:r>
      <w:r w:rsidR="00863D7A" w:rsidRPr="0078481B">
        <w:rPr>
          <w:rFonts w:asciiTheme="majorHAnsi" w:hAnsiTheme="majorHAnsi" w:cstheme="majorHAnsi"/>
        </w:rPr>
        <w:t>for the reasons given below it does not.</w:t>
      </w:r>
    </w:p>
    <w:p w14:paraId="142A9CE8" w14:textId="06B7A1F0" w:rsidR="0091719B" w:rsidRPr="0078481B" w:rsidRDefault="0091719B" w:rsidP="003925A1">
      <w:pPr>
        <w:spacing w:before="120" w:line="360" w:lineRule="auto"/>
        <w:jc w:val="both"/>
        <w:rPr>
          <w:rFonts w:asciiTheme="majorHAnsi" w:hAnsiTheme="majorHAnsi" w:cstheme="majorHAnsi"/>
        </w:rPr>
      </w:pPr>
    </w:p>
    <w:p w14:paraId="3D972C61" w14:textId="13F80CDB" w:rsidR="0091719B" w:rsidRPr="0078481B" w:rsidRDefault="00BC5D99" w:rsidP="003925A1">
      <w:pPr>
        <w:spacing w:before="120" w:line="360" w:lineRule="auto"/>
        <w:jc w:val="both"/>
        <w:rPr>
          <w:rFonts w:asciiTheme="majorHAnsi" w:hAnsiTheme="majorHAnsi" w:cstheme="majorHAnsi"/>
          <w:i/>
          <w:iCs/>
          <w:u w:val="single"/>
        </w:rPr>
      </w:pPr>
      <w:r w:rsidRPr="0078481B">
        <w:rPr>
          <w:rFonts w:asciiTheme="majorHAnsi" w:hAnsiTheme="majorHAnsi" w:cstheme="majorHAnsi"/>
          <w:i/>
          <w:iCs/>
          <w:u w:val="single"/>
        </w:rPr>
        <w:t>The anti-test case rule</w:t>
      </w:r>
      <w:r w:rsidR="00E16828" w:rsidRPr="0078481B">
        <w:rPr>
          <w:rFonts w:asciiTheme="majorHAnsi" w:hAnsiTheme="majorHAnsi" w:cstheme="majorHAnsi"/>
          <w:i/>
          <w:iCs/>
          <w:u w:val="single"/>
        </w:rPr>
        <w:t xml:space="preserve"> does not </w:t>
      </w:r>
      <w:r w:rsidR="002B6A24" w:rsidRPr="0078481B">
        <w:rPr>
          <w:rFonts w:asciiTheme="majorHAnsi" w:hAnsiTheme="majorHAnsi" w:cstheme="majorHAnsi"/>
          <w:i/>
          <w:iCs/>
          <w:u w:val="single"/>
        </w:rPr>
        <w:t>apply to this case</w:t>
      </w:r>
    </w:p>
    <w:p w14:paraId="650C4D62" w14:textId="6D314C33" w:rsidR="00A73791" w:rsidRPr="0078481B" w:rsidRDefault="000D5AD4" w:rsidP="003925A1">
      <w:pPr>
        <w:numPr>
          <w:ilvl w:val="0"/>
          <w:numId w:val="1"/>
        </w:numPr>
        <w:spacing w:before="120" w:line="360" w:lineRule="auto"/>
        <w:jc w:val="both"/>
        <w:rPr>
          <w:rFonts w:asciiTheme="majorHAnsi" w:hAnsiTheme="majorHAnsi" w:cstheme="majorHAnsi"/>
        </w:rPr>
      </w:pPr>
      <w:r w:rsidRPr="0078481B">
        <w:rPr>
          <w:rFonts w:asciiTheme="majorHAnsi" w:hAnsiTheme="majorHAnsi" w:cstheme="majorHAnsi"/>
        </w:rPr>
        <w:t>S</w:t>
      </w:r>
      <w:r w:rsidR="00A428F1" w:rsidRPr="0078481B">
        <w:rPr>
          <w:rFonts w:asciiTheme="majorHAnsi" w:hAnsiTheme="majorHAnsi" w:cstheme="majorHAnsi"/>
        </w:rPr>
        <w:t>.27 Social Security Act 1998 (</w:t>
      </w:r>
      <w:r w:rsidR="00537B7A">
        <w:rPr>
          <w:rFonts w:asciiTheme="majorHAnsi" w:hAnsiTheme="majorHAnsi" w:cstheme="majorHAnsi"/>
        </w:rPr>
        <w:t>“</w:t>
      </w:r>
      <w:r w:rsidR="00A428F1" w:rsidRPr="0078481B">
        <w:rPr>
          <w:rFonts w:asciiTheme="majorHAnsi" w:hAnsiTheme="majorHAnsi" w:cstheme="majorHAnsi"/>
          <w:b/>
          <w:bCs/>
        </w:rPr>
        <w:t>the SSA</w:t>
      </w:r>
      <w:r w:rsidR="00537B7A" w:rsidRPr="00537B7A">
        <w:rPr>
          <w:rFonts w:asciiTheme="majorHAnsi" w:hAnsiTheme="majorHAnsi" w:cstheme="majorHAnsi"/>
        </w:rPr>
        <w:t>”</w:t>
      </w:r>
      <w:r w:rsidR="00A428F1" w:rsidRPr="0078481B">
        <w:rPr>
          <w:rFonts w:asciiTheme="majorHAnsi" w:hAnsiTheme="majorHAnsi" w:cstheme="majorHAnsi"/>
        </w:rPr>
        <w:t>)</w:t>
      </w:r>
      <w:r w:rsidRPr="0078481B">
        <w:rPr>
          <w:rFonts w:asciiTheme="majorHAnsi" w:hAnsiTheme="majorHAnsi" w:cstheme="majorHAnsi"/>
        </w:rPr>
        <w:t>, in so far as it is relevant, is as follows</w:t>
      </w:r>
      <w:r w:rsidR="00A428F1" w:rsidRPr="0078481B">
        <w:rPr>
          <w:rFonts w:asciiTheme="majorHAnsi" w:hAnsiTheme="majorHAnsi" w:cstheme="majorHAnsi"/>
        </w:rPr>
        <w:t>:</w:t>
      </w:r>
    </w:p>
    <w:p w14:paraId="4BFDBE33" w14:textId="77777777" w:rsidR="00067C41" w:rsidRPr="0078481B" w:rsidRDefault="00067C41" w:rsidP="003925A1">
      <w:pPr>
        <w:spacing w:before="120" w:line="360" w:lineRule="auto"/>
        <w:ind w:left="360"/>
        <w:jc w:val="both"/>
        <w:rPr>
          <w:rFonts w:asciiTheme="majorHAnsi" w:hAnsiTheme="majorHAnsi" w:cstheme="majorHAnsi"/>
          <w:b/>
          <w:bCs/>
        </w:rPr>
      </w:pPr>
    </w:p>
    <w:p w14:paraId="011D074B" w14:textId="398204C5" w:rsidR="00A12B70" w:rsidRPr="0078481B" w:rsidRDefault="00A12B70" w:rsidP="003925A1">
      <w:pPr>
        <w:spacing w:before="120" w:line="360" w:lineRule="auto"/>
        <w:ind w:left="720"/>
        <w:jc w:val="both"/>
        <w:rPr>
          <w:rFonts w:asciiTheme="majorHAnsi" w:hAnsiTheme="majorHAnsi" w:cstheme="majorHAnsi"/>
          <w:b/>
          <w:bCs/>
          <w:i/>
          <w:iCs/>
        </w:rPr>
      </w:pPr>
      <w:r w:rsidRPr="0078481B">
        <w:rPr>
          <w:rFonts w:asciiTheme="majorHAnsi" w:hAnsiTheme="majorHAnsi" w:cstheme="majorHAnsi"/>
          <w:b/>
          <w:bCs/>
          <w:i/>
          <w:iCs/>
        </w:rPr>
        <w:t>27</w:t>
      </w:r>
      <w:r w:rsidR="00067C41" w:rsidRPr="0078481B">
        <w:rPr>
          <w:rFonts w:asciiTheme="majorHAnsi" w:hAnsiTheme="majorHAnsi" w:cstheme="majorHAnsi"/>
          <w:b/>
          <w:bCs/>
          <w:i/>
          <w:iCs/>
        </w:rPr>
        <w:t xml:space="preserve">. </w:t>
      </w:r>
      <w:r w:rsidRPr="0078481B">
        <w:rPr>
          <w:rFonts w:asciiTheme="majorHAnsi" w:hAnsiTheme="majorHAnsi" w:cstheme="majorHAnsi"/>
          <w:b/>
          <w:bCs/>
          <w:i/>
          <w:iCs/>
        </w:rPr>
        <w:t>Restrictions on entitlement to benefit in certain cases of error</w:t>
      </w:r>
    </w:p>
    <w:p w14:paraId="052B9402" w14:textId="4FA80F20" w:rsidR="00A12B70" w:rsidRPr="0078481B" w:rsidRDefault="00A12B70" w:rsidP="003925A1">
      <w:pPr>
        <w:spacing w:before="120" w:line="360" w:lineRule="auto"/>
        <w:ind w:left="720"/>
        <w:jc w:val="both"/>
        <w:rPr>
          <w:rFonts w:asciiTheme="majorHAnsi" w:hAnsiTheme="majorHAnsi" w:cstheme="majorHAnsi"/>
          <w:i/>
          <w:iCs/>
        </w:rPr>
      </w:pPr>
      <w:r w:rsidRPr="0078481B">
        <w:rPr>
          <w:rFonts w:asciiTheme="majorHAnsi" w:hAnsiTheme="majorHAnsi" w:cstheme="majorHAnsi"/>
          <w:i/>
          <w:iCs/>
        </w:rPr>
        <w:t>(1)</w:t>
      </w:r>
      <w:r w:rsidR="006D6BEE" w:rsidRPr="0078481B">
        <w:rPr>
          <w:rFonts w:asciiTheme="majorHAnsi" w:hAnsiTheme="majorHAnsi" w:cstheme="majorHAnsi"/>
          <w:i/>
          <w:iCs/>
        </w:rPr>
        <w:t xml:space="preserve"> </w:t>
      </w:r>
      <w:r w:rsidRPr="0078481B">
        <w:rPr>
          <w:rFonts w:asciiTheme="majorHAnsi" w:hAnsiTheme="majorHAnsi" w:cstheme="majorHAnsi"/>
          <w:i/>
          <w:iCs/>
        </w:rPr>
        <w:t>Subject to subsection (2) below, this section applies where—</w:t>
      </w:r>
    </w:p>
    <w:p w14:paraId="0434B179" w14:textId="469AEB86" w:rsidR="00A12B70" w:rsidRPr="0078481B" w:rsidRDefault="00A12B70" w:rsidP="003925A1">
      <w:pPr>
        <w:spacing w:before="120" w:line="360" w:lineRule="auto"/>
        <w:ind w:left="1440"/>
        <w:jc w:val="both"/>
        <w:rPr>
          <w:rFonts w:asciiTheme="majorHAnsi" w:hAnsiTheme="majorHAnsi" w:cstheme="majorHAnsi"/>
          <w:i/>
          <w:iCs/>
        </w:rPr>
      </w:pPr>
      <w:r w:rsidRPr="0078481B">
        <w:rPr>
          <w:rFonts w:asciiTheme="majorHAnsi" w:hAnsiTheme="majorHAnsi" w:cstheme="majorHAnsi"/>
          <w:i/>
          <w:iCs/>
        </w:rPr>
        <w:t>(a)</w:t>
      </w:r>
      <w:r w:rsidR="00357784" w:rsidRPr="0078481B">
        <w:rPr>
          <w:rFonts w:asciiTheme="majorHAnsi" w:hAnsiTheme="majorHAnsi" w:cstheme="majorHAnsi"/>
          <w:i/>
          <w:iCs/>
        </w:rPr>
        <w:t xml:space="preserve"> </w:t>
      </w:r>
      <w:bookmarkStart w:id="0" w:name="_Hlk205280447"/>
      <w:r w:rsidRPr="0078481B">
        <w:rPr>
          <w:rFonts w:asciiTheme="majorHAnsi" w:hAnsiTheme="majorHAnsi" w:cstheme="majorHAnsi"/>
          <w:i/>
          <w:iCs/>
        </w:rPr>
        <w:t>the effect of the determination, whenever made, of an appeal to the Upper Tribunal or the court (“the relevant determination”) is that the adjudicating authority’s decision out of which the appeal arose was erroneous in point of law</w:t>
      </w:r>
      <w:bookmarkEnd w:id="0"/>
      <w:r w:rsidRPr="0078481B">
        <w:rPr>
          <w:rFonts w:asciiTheme="majorHAnsi" w:hAnsiTheme="majorHAnsi" w:cstheme="majorHAnsi"/>
          <w:i/>
          <w:iCs/>
        </w:rPr>
        <w:t>; and</w:t>
      </w:r>
    </w:p>
    <w:p w14:paraId="4A7F5F11" w14:textId="64309F98" w:rsidR="00A12B70" w:rsidRPr="0078481B" w:rsidRDefault="00A12B70" w:rsidP="003925A1">
      <w:pPr>
        <w:spacing w:before="120" w:line="360" w:lineRule="auto"/>
        <w:ind w:left="1440"/>
        <w:jc w:val="both"/>
        <w:rPr>
          <w:rFonts w:asciiTheme="majorHAnsi" w:hAnsiTheme="majorHAnsi" w:cstheme="majorHAnsi"/>
          <w:i/>
          <w:iCs/>
        </w:rPr>
      </w:pPr>
      <w:r w:rsidRPr="0078481B">
        <w:rPr>
          <w:rFonts w:asciiTheme="majorHAnsi" w:hAnsiTheme="majorHAnsi" w:cstheme="majorHAnsi"/>
          <w:i/>
          <w:iCs/>
        </w:rPr>
        <w:t>(b)</w:t>
      </w:r>
      <w:r w:rsidR="006D6BEE" w:rsidRPr="0078481B">
        <w:rPr>
          <w:rFonts w:asciiTheme="majorHAnsi" w:hAnsiTheme="majorHAnsi" w:cstheme="majorHAnsi"/>
          <w:i/>
          <w:iCs/>
        </w:rPr>
        <w:t xml:space="preserve"> </w:t>
      </w:r>
      <w:bookmarkStart w:id="1" w:name="_Hlk205280592"/>
      <w:r w:rsidRPr="0078481B">
        <w:rPr>
          <w:rFonts w:asciiTheme="majorHAnsi" w:hAnsiTheme="majorHAnsi" w:cstheme="majorHAnsi"/>
          <w:i/>
          <w:iCs/>
        </w:rPr>
        <w:t>after the date of the relevant determination a decision falls to be made by the Secretary of State in accordance with that determination (or would, apart from this section, fall to be so made)—</w:t>
      </w:r>
    </w:p>
    <w:p w14:paraId="21EB04BF" w14:textId="38676EC6" w:rsidR="00A12B70" w:rsidRPr="0078481B" w:rsidRDefault="00A12B70" w:rsidP="003925A1">
      <w:pPr>
        <w:spacing w:before="120" w:line="360" w:lineRule="auto"/>
        <w:ind w:left="2160"/>
        <w:jc w:val="both"/>
        <w:rPr>
          <w:rFonts w:asciiTheme="majorHAnsi" w:hAnsiTheme="majorHAnsi" w:cstheme="majorHAnsi"/>
          <w:i/>
          <w:iCs/>
        </w:rPr>
      </w:pPr>
      <w:r w:rsidRPr="0078481B">
        <w:rPr>
          <w:rFonts w:asciiTheme="majorHAnsi" w:hAnsiTheme="majorHAnsi" w:cstheme="majorHAnsi"/>
          <w:i/>
          <w:iCs/>
        </w:rPr>
        <w:t>(</w:t>
      </w:r>
      <w:proofErr w:type="spellStart"/>
      <w:r w:rsidRPr="0078481B">
        <w:rPr>
          <w:rFonts w:asciiTheme="majorHAnsi" w:hAnsiTheme="majorHAnsi" w:cstheme="majorHAnsi"/>
          <w:i/>
          <w:iCs/>
        </w:rPr>
        <w:t>i</w:t>
      </w:r>
      <w:proofErr w:type="spellEnd"/>
      <w:r w:rsidRPr="0078481B">
        <w:rPr>
          <w:rFonts w:asciiTheme="majorHAnsi" w:hAnsiTheme="majorHAnsi" w:cstheme="majorHAnsi"/>
          <w:i/>
          <w:iCs/>
        </w:rPr>
        <w:t>)</w:t>
      </w:r>
      <w:r w:rsidR="006D6BEE" w:rsidRPr="0078481B">
        <w:rPr>
          <w:rFonts w:asciiTheme="majorHAnsi" w:hAnsiTheme="majorHAnsi" w:cstheme="majorHAnsi"/>
          <w:i/>
          <w:iCs/>
        </w:rPr>
        <w:t xml:space="preserve"> </w:t>
      </w:r>
      <w:r w:rsidRPr="0078481B">
        <w:rPr>
          <w:rFonts w:asciiTheme="majorHAnsi" w:hAnsiTheme="majorHAnsi" w:cstheme="majorHAnsi"/>
          <w:i/>
          <w:iCs/>
        </w:rPr>
        <w:t>in relation to a claim for benefit;</w:t>
      </w:r>
    </w:p>
    <w:p w14:paraId="3DEA7A86" w14:textId="731172A0" w:rsidR="00A12B70" w:rsidRPr="0078481B" w:rsidRDefault="00A12B70" w:rsidP="003925A1">
      <w:pPr>
        <w:spacing w:before="120" w:line="360" w:lineRule="auto"/>
        <w:ind w:left="2160"/>
        <w:jc w:val="both"/>
        <w:rPr>
          <w:rFonts w:asciiTheme="majorHAnsi" w:hAnsiTheme="majorHAnsi" w:cstheme="majorHAnsi"/>
          <w:i/>
          <w:iCs/>
        </w:rPr>
      </w:pPr>
      <w:r w:rsidRPr="0078481B">
        <w:rPr>
          <w:rFonts w:asciiTheme="majorHAnsi" w:hAnsiTheme="majorHAnsi" w:cstheme="majorHAnsi"/>
          <w:i/>
          <w:iCs/>
        </w:rPr>
        <w:t>(ii)</w:t>
      </w:r>
      <w:r w:rsidR="006D6BEE" w:rsidRPr="0078481B">
        <w:rPr>
          <w:rFonts w:asciiTheme="majorHAnsi" w:hAnsiTheme="majorHAnsi" w:cstheme="majorHAnsi"/>
          <w:i/>
          <w:iCs/>
        </w:rPr>
        <w:t xml:space="preserve"> </w:t>
      </w:r>
      <w:r w:rsidRPr="0078481B">
        <w:rPr>
          <w:rFonts w:asciiTheme="majorHAnsi" w:hAnsiTheme="majorHAnsi" w:cstheme="majorHAnsi"/>
          <w:i/>
          <w:iCs/>
        </w:rPr>
        <w:t>as to whether to revise, under section 9 above, a decision as to a person’s entitlement to benefit; or</w:t>
      </w:r>
    </w:p>
    <w:p w14:paraId="16079D7A" w14:textId="7F675603" w:rsidR="00A12B70" w:rsidRPr="0078481B" w:rsidRDefault="00A12B70" w:rsidP="003925A1">
      <w:pPr>
        <w:spacing w:before="120" w:line="360" w:lineRule="auto"/>
        <w:ind w:left="2160"/>
        <w:jc w:val="both"/>
        <w:rPr>
          <w:rFonts w:asciiTheme="majorHAnsi" w:hAnsiTheme="majorHAnsi" w:cstheme="majorHAnsi"/>
          <w:i/>
          <w:iCs/>
        </w:rPr>
      </w:pPr>
      <w:r w:rsidRPr="0078481B">
        <w:rPr>
          <w:rFonts w:asciiTheme="majorHAnsi" w:hAnsiTheme="majorHAnsi" w:cstheme="majorHAnsi"/>
          <w:i/>
          <w:iCs/>
        </w:rPr>
        <w:t>(iii)</w:t>
      </w:r>
      <w:r w:rsidR="006D6BEE" w:rsidRPr="0078481B">
        <w:rPr>
          <w:rFonts w:asciiTheme="majorHAnsi" w:hAnsiTheme="majorHAnsi" w:cstheme="majorHAnsi"/>
          <w:i/>
          <w:iCs/>
        </w:rPr>
        <w:t xml:space="preserve"> </w:t>
      </w:r>
      <w:r w:rsidRPr="0078481B">
        <w:rPr>
          <w:rFonts w:asciiTheme="majorHAnsi" w:hAnsiTheme="majorHAnsi" w:cstheme="majorHAnsi"/>
          <w:i/>
          <w:iCs/>
        </w:rPr>
        <w:t>on an application made under section 10 above for a decision as to a person’s entitlement to benefit to be superseded.</w:t>
      </w:r>
      <w:bookmarkEnd w:id="1"/>
    </w:p>
    <w:p w14:paraId="242F80DA" w14:textId="7952E3F7" w:rsidR="00A12B70" w:rsidRPr="0078481B" w:rsidRDefault="00162590" w:rsidP="003925A1">
      <w:pPr>
        <w:spacing w:before="120" w:line="360" w:lineRule="auto"/>
        <w:ind w:left="720"/>
        <w:jc w:val="both"/>
        <w:rPr>
          <w:rFonts w:asciiTheme="majorHAnsi" w:hAnsiTheme="majorHAnsi" w:cstheme="majorHAnsi"/>
          <w:i/>
          <w:iCs/>
        </w:rPr>
      </w:pPr>
      <w:r w:rsidRPr="0078481B">
        <w:rPr>
          <w:rFonts w:asciiTheme="majorHAnsi" w:hAnsiTheme="majorHAnsi" w:cstheme="majorHAnsi"/>
          <w:i/>
          <w:iCs/>
        </w:rPr>
        <w:t>[…]</w:t>
      </w:r>
    </w:p>
    <w:p w14:paraId="3280B13A" w14:textId="3A5BB4E4" w:rsidR="00A12B70" w:rsidRPr="0078481B" w:rsidRDefault="00A12B70" w:rsidP="003925A1">
      <w:pPr>
        <w:spacing w:before="120" w:line="360" w:lineRule="auto"/>
        <w:ind w:left="720"/>
        <w:jc w:val="both"/>
        <w:rPr>
          <w:rFonts w:asciiTheme="majorHAnsi" w:hAnsiTheme="majorHAnsi" w:cstheme="majorHAnsi"/>
          <w:i/>
          <w:iCs/>
        </w:rPr>
      </w:pPr>
      <w:r w:rsidRPr="0078481B">
        <w:rPr>
          <w:rFonts w:asciiTheme="majorHAnsi" w:hAnsiTheme="majorHAnsi" w:cstheme="majorHAnsi"/>
          <w:i/>
          <w:iCs/>
        </w:rPr>
        <w:t>(3)</w:t>
      </w:r>
      <w:r w:rsidR="006D6BEE" w:rsidRPr="0078481B">
        <w:rPr>
          <w:rFonts w:asciiTheme="majorHAnsi" w:hAnsiTheme="majorHAnsi" w:cstheme="majorHAnsi"/>
          <w:i/>
          <w:iCs/>
        </w:rPr>
        <w:t xml:space="preserve"> </w:t>
      </w:r>
      <w:bookmarkStart w:id="2" w:name="_Hlk205282278"/>
      <w:r w:rsidRPr="0078481B">
        <w:rPr>
          <w:rFonts w:asciiTheme="majorHAnsi" w:hAnsiTheme="majorHAnsi" w:cstheme="majorHAnsi"/>
          <w:i/>
          <w:iCs/>
        </w:rPr>
        <w:t>In so far as the decision relates to a person’s entitlement to a benefit in respect of—</w:t>
      </w:r>
    </w:p>
    <w:p w14:paraId="58E1493C" w14:textId="1AEFD46E" w:rsidR="00A12B70" w:rsidRPr="0078481B" w:rsidRDefault="00A12B70" w:rsidP="003925A1">
      <w:pPr>
        <w:spacing w:before="120" w:line="360" w:lineRule="auto"/>
        <w:ind w:left="1440"/>
        <w:jc w:val="both"/>
        <w:rPr>
          <w:rFonts w:asciiTheme="majorHAnsi" w:hAnsiTheme="majorHAnsi" w:cstheme="majorHAnsi"/>
          <w:i/>
          <w:iCs/>
        </w:rPr>
      </w:pPr>
      <w:r w:rsidRPr="0078481B">
        <w:rPr>
          <w:rFonts w:asciiTheme="majorHAnsi" w:hAnsiTheme="majorHAnsi" w:cstheme="majorHAnsi"/>
          <w:i/>
          <w:iCs/>
        </w:rPr>
        <w:t>(a)</w:t>
      </w:r>
      <w:r w:rsidR="008F5DB4" w:rsidRPr="0078481B">
        <w:rPr>
          <w:rFonts w:asciiTheme="majorHAnsi" w:hAnsiTheme="majorHAnsi" w:cstheme="majorHAnsi"/>
          <w:i/>
          <w:iCs/>
        </w:rPr>
        <w:t xml:space="preserve"> </w:t>
      </w:r>
      <w:r w:rsidRPr="0078481B">
        <w:rPr>
          <w:rFonts w:asciiTheme="majorHAnsi" w:hAnsiTheme="majorHAnsi" w:cstheme="majorHAnsi"/>
          <w:i/>
          <w:iCs/>
        </w:rPr>
        <w:t>a period before the date of the relevant determination; or</w:t>
      </w:r>
    </w:p>
    <w:p w14:paraId="45608CE2" w14:textId="7DB52FFD" w:rsidR="00A12B70" w:rsidRPr="0078481B" w:rsidRDefault="00A12B70" w:rsidP="003925A1">
      <w:pPr>
        <w:spacing w:before="120" w:line="360" w:lineRule="auto"/>
        <w:ind w:left="1440"/>
        <w:jc w:val="both"/>
        <w:rPr>
          <w:rFonts w:asciiTheme="majorHAnsi" w:hAnsiTheme="majorHAnsi" w:cstheme="majorHAnsi"/>
          <w:i/>
          <w:iCs/>
        </w:rPr>
      </w:pPr>
      <w:r w:rsidRPr="0078481B">
        <w:rPr>
          <w:rFonts w:asciiTheme="majorHAnsi" w:hAnsiTheme="majorHAnsi" w:cstheme="majorHAnsi"/>
          <w:i/>
          <w:iCs/>
        </w:rPr>
        <w:t>(b)</w:t>
      </w:r>
      <w:r w:rsidR="008F5DB4" w:rsidRPr="0078481B">
        <w:rPr>
          <w:rFonts w:asciiTheme="majorHAnsi" w:hAnsiTheme="majorHAnsi" w:cstheme="majorHAnsi"/>
          <w:i/>
          <w:iCs/>
        </w:rPr>
        <w:t xml:space="preserve"> </w:t>
      </w:r>
      <w:r w:rsidRPr="0078481B">
        <w:rPr>
          <w:rFonts w:asciiTheme="majorHAnsi" w:hAnsiTheme="majorHAnsi" w:cstheme="majorHAnsi"/>
          <w:i/>
          <w:iCs/>
        </w:rPr>
        <w:t>in the case of a widow’s payment, a death occurring before that date,</w:t>
      </w:r>
    </w:p>
    <w:p w14:paraId="1EDF11D4" w14:textId="6765851E" w:rsidR="00A12B70" w:rsidRPr="0078481B" w:rsidRDefault="00A12B70" w:rsidP="003925A1">
      <w:pPr>
        <w:spacing w:before="120" w:line="360" w:lineRule="auto"/>
        <w:ind w:left="720"/>
        <w:jc w:val="both"/>
        <w:rPr>
          <w:rFonts w:asciiTheme="majorHAnsi" w:hAnsiTheme="majorHAnsi" w:cstheme="majorHAnsi"/>
          <w:i/>
          <w:iCs/>
        </w:rPr>
      </w:pPr>
      <w:r w:rsidRPr="0078481B">
        <w:rPr>
          <w:rFonts w:asciiTheme="majorHAnsi" w:hAnsiTheme="majorHAnsi" w:cstheme="majorHAnsi"/>
          <w:i/>
          <w:iCs/>
        </w:rPr>
        <w:t>it shall be made as if the adjudicating authority’s decision had been found by the Upper Tribunal or court not to have been erroneous in point of law</w:t>
      </w:r>
      <w:bookmarkEnd w:id="2"/>
      <w:r w:rsidRPr="0078481B">
        <w:rPr>
          <w:rFonts w:asciiTheme="majorHAnsi" w:hAnsiTheme="majorHAnsi" w:cstheme="majorHAnsi"/>
          <w:i/>
          <w:iCs/>
        </w:rPr>
        <w:t>.</w:t>
      </w:r>
    </w:p>
    <w:p w14:paraId="31B70E34" w14:textId="7714FAFA" w:rsidR="00A12B70" w:rsidRPr="0078481B" w:rsidRDefault="00DC7946" w:rsidP="003925A1">
      <w:pPr>
        <w:spacing w:before="120" w:line="360" w:lineRule="auto"/>
        <w:ind w:left="720"/>
        <w:jc w:val="both"/>
        <w:rPr>
          <w:rFonts w:asciiTheme="majorHAnsi" w:hAnsiTheme="majorHAnsi" w:cstheme="majorHAnsi"/>
          <w:i/>
          <w:iCs/>
        </w:rPr>
      </w:pPr>
      <w:r w:rsidRPr="0078481B">
        <w:rPr>
          <w:rFonts w:asciiTheme="majorHAnsi" w:hAnsiTheme="majorHAnsi" w:cstheme="majorHAnsi"/>
          <w:i/>
          <w:iCs/>
        </w:rPr>
        <w:t>[…]</w:t>
      </w:r>
    </w:p>
    <w:p w14:paraId="20B7AED1" w14:textId="1BD8944A" w:rsidR="00A12B70" w:rsidRPr="0078481B" w:rsidRDefault="00A12B70" w:rsidP="003925A1">
      <w:pPr>
        <w:spacing w:before="120" w:line="360" w:lineRule="auto"/>
        <w:ind w:left="720"/>
        <w:jc w:val="both"/>
        <w:rPr>
          <w:rFonts w:asciiTheme="majorHAnsi" w:hAnsiTheme="majorHAnsi" w:cstheme="majorHAnsi"/>
          <w:i/>
          <w:iCs/>
        </w:rPr>
      </w:pPr>
      <w:r w:rsidRPr="0078481B">
        <w:rPr>
          <w:rFonts w:asciiTheme="majorHAnsi" w:hAnsiTheme="majorHAnsi" w:cstheme="majorHAnsi"/>
          <w:i/>
          <w:iCs/>
        </w:rPr>
        <w:t>(6)</w:t>
      </w:r>
      <w:r w:rsidR="008463AA" w:rsidRPr="0078481B">
        <w:rPr>
          <w:rFonts w:asciiTheme="majorHAnsi" w:hAnsiTheme="majorHAnsi" w:cstheme="majorHAnsi"/>
          <w:i/>
          <w:iCs/>
        </w:rPr>
        <w:t xml:space="preserve"> </w:t>
      </w:r>
      <w:r w:rsidRPr="0078481B">
        <w:rPr>
          <w:rFonts w:asciiTheme="majorHAnsi" w:hAnsiTheme="majorHAnsi" w:cstheme="majorHAnsi"/>
          <w:i/>
          <w:iCs/>
        </w:rPr>
        <w:t>It is immaterial for the purposes of subsection (1) above—</w:t>
      </w:r>
    </w:p>
    <w:p w14:paraId="25BB7416" w14:textId="4DCF1154" w:rsidR="00A12B70" w:rsidRPr="0078481B" w:rsidRDefault="00A12B70" w:rsidP="003925A1">
      <w:pPr>
        <w:spacing w:before="120" w:line="360" w:lineRule="auto"/>
        <w:ind w:left="1440"/>
        <w:jc w:val="both"/>
        <w:rPr>
          <w:rFonts w:asciiTheme="majorHAnsi" w:hAnsiTheme="majorHAnsi" w:cstheme="majorHAnsi"/>
          <w:i/>
          <w:iCs/>
        </w:rPr>
      </w:pPr>
      <w:r w:rsidRPr="0078481B">
        <w:rPr>
          <w:rFonts w:asciiTheme="majorHAnsi" w:hAnsiTheme="majorHAnsi" w:cstheme="majorHAnsi"/>
          <w:i/>
          <w:iCs/>
        </w:rPr>
        <w:t>(a)</w:t>
      </w:r>
      <w:r w:rsidR="008463AA" w:rsidRPr="0078481B">
        <w:rPr>
          <w:rFonts w:asciiTheme="majorHAnsi" w:hAnsiTheme="majorHAnsi" w:cstheme="majorHAnsi"/>
          <w:i/>
          <w:iCs/>
        </w:rPr>
        <w:t xml:space="preserve"> </w:t>
      </w:r>
      <w:r w:rsidRPr="0078481B">
        <w:rPr>
          <w:rFonts w:asciiTheme="majorHAnsi" w:hAnsiTheme="majorHAnsi" w:cstheme="majorHAnsi"/>
          <w:i/>
          <w:iCs/>
        </w:rPr>
        <w:t>where such a decision as is mentioned in paragraph (b)(</w:t>
      </w:r>
      <w:proofErr w:type="spellStart"/>
      <w:r w:rsidRPr="0078481B">
        <w:rPr>
          <w:rFonts w:asciiTheme="majorHAnsi" w:hAnsiTheme="majorHAnsi" w:cstheme="majorHAnsi"/>
          <w:i/>
          <w:iCs/>
        </w:rPr>
        <w:t>i</w:t>
      </w:r>
      <w:proofErr w:type="spellEnd"/>
      <w:r w:rsidRPr="0078481B">
        <w:rPr>
          <w:rFonts w:asciiTheme="majorHAnsi" w:hAnsiTheme="majorHAnsi" w:cstheme="majorHAnsi"/>
          <w:i/>
          <w:iCs/>
        </w:rPr>
        <w:t>) falls to be made, whether the claim was made before or after the date of the relevant determination;</w:t>
      </w:r>
    </w:p>
    <w:p w14:paraId="616F3AB2" w14:textId="77777777" w:rsidR="00A12B70" w:rsidRPr="0078481B" w:rsidRDefault="00A12B70" w:rsidP="003925A1">
      <w:pPr>
        <w:spacing w:before="120" w:line="360" w:lineRule="auto"/>
        <w:ind w:left="1440"/>
        <w:jc w:val="both"/>
        <w:rPr>
          <w:rFonts w:asciiTheme="majorHAnsi" w:hAnsiTheme="majorHAnsi" w:cstheme="majorHAnsi"/>
          <w:i/>
          <w:iCs/>
        </w:rPr>
      </w:pPr>
      <w:r w:rsidRPr="0078481B">
        <w:rPr>
          <w:rFonts w:asciiTheme="majorHAnsi" w:hAnsiTheme="majorHAnsi" w:cstheme="majorHAnsi"/>
          <w:i/>
          <w:iCs/>
        </w:rPr>
        <w:t>(b)where such a decision as is mentioned in paragraph (b)(ii) or (iii) falls to be made on an application under section 9 or (as the case may be) 10 above, whether the application was made before or after that date.</w:t>
      </w:r>
    </w:p>
    <w:p w14:paraId="6D65CCF9" w14:textId="2B642E5C" w:rsidR="00A12B70" w:rsidRPr="0078481B" w:rsidRDefault="00A12B70" w:rsidP="003925A1">
      <w:pPr>
        <w:spacing w:before="120" w:line="360" w:lineRule="auto"/>
        <w:ind w:left="720"/>
        <w:jc w:val="both"/>
        <w:rPr>
          <w:rFonts w:asciiTheme="majorHAnsi" w:hAnsiTheme="majorHAnsi" w:cstheme="majorHAnsi"/>
          <w:i/>
          <w:iCs/>
        </w:rPr>
      </w:pPr>
      <w:r w:rsidRPr="0078481B">
        <w:rPr>
          <w:rFonts w:asciiTheme="majorHAnsi" w:hAnsiTheme="majorHAnsi" w:cstheme="majorHAnsi"/>
          <w:i/>
          <w:iCs/>
        </w:rPr>
        <w:t>(7)</w:t>
      </w:r>
      <w:r w:rsidR="00BD726A" w:rsidRPr="0078481B">
        <w:rPr>
          <w:rFonts w:asciiTheme="majorHAnsi" w:hAnsiTheme="majorHAnsi" w:cstheme="majorHAnsi"/>
          <w:i/>
          <w:iCs/>
        </w:rPr>
        <w:t xml:space="preserve"> </w:t>
      </w:r>
      <w:r w:rsidRPr="0078481B">
        <w:rPr>
          <w:rFonts w:asciiTheme="majorHAnsi" w:hAnsiTheme="majorHAnsi" w:cstheme="majorHAnsi"/>
          <w:i/>
          <w:iCs/>
        </w:rPr>
        <w:t>In this section—</w:t>
      </w:r>
    </w:p>
    <w:p w14:paraId="7575592D" w14:textId="2519B9C2" w:rsidR="00A12B70" w:rsidRPr="0078481B" w:rsidRDefault="00A12B70" w:rsidP="003925A1">
      <w:pPr>
        <w:spacing w:before="120" w:line="360" w:lineRule="auto"/>
        <w:ind w:left="1440"/>
        <w:jc w:val="both"/>
        <w:rPr>
          <w:rFonts w:asciiTheme="majorHAnsi" w:hAnsiTheme="majorHAnsi" w:cstheme="majorHAnsi"/>
          <w:i/>
          <w:iCs/>
        </w:rPr>
      </w:pPr>
      <w:r w:rsidRPr="0078481B">
        <w:rPr>
          <w:rFonts w:asciiTheme="majorHAnsi" w:hAnsiTheme="majorHAnsi" w:cstheme="majorHAnsi"/>
          <w:i/>
          <w:iCs/>
        </w:rPr>
        <w:t>“adjudicating authority” means—</w:t>
      </w:r>
    </w:p>
    <w:p w14:paraId="6E6F37F1" w14:textId="525250BF" w:rsidR="00A12B70" w:rsidRPr="0078481B" w:rsidRDefault="00A12B70" w:rsidP="003925A1">
      <w:pPr>
        <w:spacing w:before="120" w:line="360" w:lineRule="auto"/>
        <w:ind w:left="2160"/>
        <w:jc w:val="both"/>
        <w:rPr>
          <w:rFonts w:asciiTheme="majorHAnsi" w:hAnsiTheme="majorHAnsi" w:cstheme="majorHAnsi"/>
          <w:i/>
          <w:iCs/>
        </w:rPr>
      </w:pPr>
      <w:r w:rsidRPr="0078481B">
        <w:rPr>
          <w:rFonts w:asciiTheme="majorHAnsi" w:hAnsiTheme="majorHAnsi" w:cstheme="majorHAnsi"/>
          <w:i/>
          <w:iCs/>
        </w:rPr>
        <w:t>(a)</w:t>
      </w:r>
      <w:r w:rsidR="00067C41" w:rsidRPr="0078481B">
        <w:rPr>
          <w:rFonts w:asciiTheme="majorHAnsi" w:hAnsiTheme="majorHAnsi" w:cstheme="majorHAnsi"/>
          <w:i/>
          <w:iCs/>
        </w:rPr>
        <w:t xml:space="preserve"> </w:t>
      </w:r>
      <w:r w:rsidRPr="0078481B">
        <w:rPr>
          <w:rFonts w:asciiTheme="majorHAnsi" w:hAnsiTheme="majorHAnsi" w:cstheme="majorHAnsi"/>
          <w:i/>
          <w:iCs/>
        </w:rPr>
        <w:t>the Secretary of State;</w:t>
      </w:r>
    </w:p>
    <w:p w14:paraId="7A57C6BC" w14:textId="5D8C706C" w:rsidR="00A12B70" w:rsidRPr="0078481B" w:rsidRDefault="00A12B70" w:rsidP="003925A1">
      <w:pPr>
        <w:spacing w:before="120" w:line="360" w:lineRule="auto"/>
        <w:ind w:left="2160"/>
        <w:jc w:val="both"/>
        <w:rPr>
          <w:rFonts w:asciiTheme="majorHAnsi" w:hAnsiTheme="majorHAnsi" w:cstheme="majorHAnsi"/>
          <w:i/>
          <w:iCs/>
        </w:rPr>
      </w:pPr>
      <w:r w:rsidRPr="0078481B">
        <w:rPr>
          <w:rFonts w:asciiTheme="majorHAnsi" w:hAnsiTheme="majorHAnsi" w:cstheme="majorHAnsi"/>
          <w:i/>
          <w:iCs/>
        </w:rPr>
        <w:t>(b)</w:t>
      </w:r>
      <w:r w:rsidR="00067C41" w:rsidRPr="0078481B">
        <w:rPr>
          <w:rFonts w:asciiTheme="majorHAnsi" w:hAnsiTheme="majorHAnsi" w:cstheme="majorHAnsi"/>
          <w:i/>
          <w:iCs/>
        </w:rPr>
        <w:t xml:space="preserve"> </w:t>
      </w:r>
      <w:r w:rsidRPr="0078481B">
        <w:rPr>
          <w:rFonts w:asciiTheme="majorHAnsi" w:hAnsiTheme="majorHAnsi" w:cstheme="majorHAnsi"/>
          <w:i/>
          <w:iCs/>
        </w:rPr>
        <w:t>any former officer, tribunal or body; or</w:t>
      </w:r>
    </w:p>
    <w:p w14:paraId="0AD0598E" w14:textId="7A15204E" w:rsidR="00A12B70" w:rsidRPr="0078481B" w:rsidRDefault="00A12B70" w:rsidP="003925A1">
      <w:pPr>
        <w:spacing w:before="120" w:line="360" w:lineRule="auto"/>
        <w:ind w:left="2160"/>
        <w:jc w:val="both"/>
        <w:rPr>
          <w:rFonts w:asciiTheme="majorHAnsi" w:hAnsiTheme="majorHAnsi" w:cstheme="majorHAnsi"/>
          <w:i/>
          <w:iCs/>
        </w:rPr>
      </w:pPr>
      <w:r w:rsidRPr="0078481B">
        <w:rPr>
          <w:rFonts w:asciiTheme="majorHAnsi" w:hAnsiTheme="majorHAnsi" w:cstheme="majorHAnsi"/>
          <w:i/>
          <w:iCs/>
        </w:rPr>
        <w:t>(c)</w:t>
      </w:r>
      <w:r w:rsidR="00B90AF1" w:rsidRPr="0078481B">
        <w:rPr>
          <w:rFonts w:asciiTheme="majorHAnsi" w:hAnsiTheme="majorHAnsi" w:cstheme="majorHAnsi"/>
          <w:i/>
          <w:iCs/>
        </w:rPr>
        <w:t xml:space="preserve"> </w:t>
      </w:r>
      <w:r w:rsidRPr="0078481B">
        <w:rPr>
          <w:rFonts w:asciiTheme="majorHAnsi" w:hAnsiTheme="majorHAnsi" w:cstheme="majorHAnsi"/>
          <w:i/>
          <w:iCs/>
        </w:rPr>
        <w:t>any officer, tribunal or body in Northern Ireland corresponding to a former officer, tribunal or body;</w:t>
      </w:r>
    </w:p>
    <w:p w14:paraId="35A42220" w14:textId="4F4BDAE1" w:rsidR="00A12B70" w:rsidRPr="0078481B" w:rsidRDefault="00A12B70" w:rsidP="003925A1">
      <w:pPr>
        <w:spacing w:before="120" w:line="360" w:lineRule="auto"/>
        <w:ind w:left="1440"/>
        <w:jc w:val="both"/>
        <w:rPr>
          <w:rFonts w:asciiTheme="majorHAnsi" w:hAnsiTheme="majorHAnsi" w:cstheme="majorHAnsi"/>
          <w:i/>
          <w:iCs/>
        </w:rPr>
      </w:pPr>
      <w:r w:rsidRPr="0078481B">
        <w:rPr>
          <w:rFonts w:asciiTheme="majorHAnsi" w:hAnsiTheme="majorHAnsi" w:cstheme="majorHAnsi"/>
          <w:i/>
          <w:iCs/>
        </w:rPr>
        <w:t>“benefit” means—</w:t>
      </w:r>
    </w:p>
    <w:p w14:paraId="6F806E02" w14:textId="391580CE" w:rsidR="00111ABB" w:rsidRPr="0078481B" w:rsidRDefault="00111ABB" w:rsidP="003925A1">
      <w:pPr>
        <w:spacing w:before="120" w:line="360" w:lineRule="auto"/>
        <w:ind w:left="1440" w:firstLine="720"/>
        <w:jc w:val="both"/>
        <w:rPr>
          <w:rFonts w:asciiTheme="majorHAnsi" w:hAnsiTheme="majorHAnsi" w:cstheme="majorHAnsi"/>
          <w:i/>
          <w:iCs/>
        </w:rPr>
      </w:pPr>
      <w:r w:rsidRPr="0078481B">
        <w:rPr>
          <w:rFonts w:asciiTheme="majorHAnsi" w:hAnsiTheme="majorHAnsi" w:cstheme="majorHAnsi"/>
          <w:i/>
          <w:iCs/>
        </w:rPr>
        <w:t>[…]</w:t>
      </w:r>
    </w:p>
    <w:p w14:paraId="397EF246" w14:textId="30560812" w:rsidR="00A12B70" w:rsidRPr="0078481B" w:rsidRDefault="00A831AF" w:rsidP="003925A1">
      <w:pPr>
        <w:spacing w:before="120" w:line="360" w:lineRule="auto"/>
        <w:ind w:left="1440" w:firstLine="720"/>
        <w:jc w:val="both"/>
        <w:rPr>
          <w:rFonts w:asciiTheme="majorHAnsi" w:hAnsiTheme="majorHAnsi" w:cstheme="majorHAnsi"/>
          <w:i/>
          <w:iCs/>
        </w:rPr>
      </w:pPr>
      <w:r w:rsidRPr="0078481B">
        <w:rPr>
          <w:rFonts w:asciiTheme="majorHAnsi" w:hAnsiTheme="majorHAnsi" w:cstheme="majorHAnsi"/>
          <w:i/>
          <w:iCs/>
        </w:rPr>
        <w:t xml:space="preserve">(f) </w:t>
      </w:r>
      <w:r w:rsidR="00A12B70" w:rsidRPr="0078481B">
        <w:rPr>
          <w:rFonts w:asciiTheme="majorHAnsi" w:hAnsiTheme="majorHAnsi" w:cstheme="majorHAnsi"/>
          <w:i/>
          <w:iCs/>
        </w:rPr>
        <w:t>universal credit;</w:t>
      </w:r>
    </w:p>
    <w:p w14:paraId="6B005EB6" w14:textId="3814FC6D" w:rsidR="00A12B70" w:rsidRPr="0078481B" w:rsidRDefault="00F54EAD" w:rsidP="003925A1">
      <w:pPr>
        <w:spacing w:before="120" w:line="360" w:lineRule="auto"/>
        <w:ind w:left="1440" w:firstLine="720"/>
        <w:jc w:val="both"/>
        <w:rPr>
          <w:rFonts w:asciiTheme="majorHAnsi" w:hAnsiTheme="majorHAnsi" w:cstheme="majorHAnsi"/>
          <w:i/>
          <w:iCs/>
        </w:rPr>
      </w:pPr>
      <w:r w:rsidRPr="0078481B">
        <w:rPr>
          <w:rFonts w:asciiTheme="majorHAnsi" w:hAnsiTheme="majorHAnsi" w:cstheme="majorHAnsi"/>
          <w:i/>
          <w:iCs/>
        </w:rPr>
        <w:t>[…]</w:t>
      </w:r>
    </w:p>
    <w:p w14:paraId="3D0F390F" w14:textId="4BC87222" w:rsidR="00F54EAD" w:rsidRPr="0078481B" w:rsidRDefault="00F54EAD" w:rsidP="003925A1">
      <w:pPr>
        <w:spacing w:before="120" w:line="360" w:lineRule="auto"/>
        <w:ind w:left="720"/>
        <w:jc w:val="both"/>
        <w:rPr>
          <w:rFonts w:asciiTheme="majorHAnsi" w:hAnsiTheme="majorHAnsi" w:cstheme="majorHAnsi"/>
          <w:i/>
          <w:iCs/>
        </w:rPr>
      </w:pPr>
      <w:r w:rsidRPr="0078481B">
        <w:rPr>
          <w:rFonts w:asciiTheme="majorHAnsi" w:hAnsiTheme="majorHAnsi" w:cstheme="majorHAnsi"/>
          <w:i/>
          <w:iCs/>
        </w:rPr>
        <w:t>[…]</w:t>
      </w:r>
    </w:p>
    <w:p w14:paraId="0080B57D" w14:textId="77777777" w:rsidR="00DD7189" w:rsidRPr="0078481B" w:rsidRDefault="00DD7189" w:rsidP="003925A1">
      <w:pPr>
        <w:spacing w:before="120" w:line="360" w:lineRule="auto"/>
        <w:ind w:left="360"/>
        <w:jc w:val="both"/>
        <w:rPr>
          <w:rFonts w:asciiTheme="majorHAnsi" w:hAnsiTheme="majorHAnsi" w:cstheme="majorHAnsi"/>
        </w:rPr>
      </w:pPr>
    </w:p>
    <w:p w14:paraId="31105B52" w14:textId="18A3C3CA" w:rsidR="00357404" w:rsidRPr="0078481B" w:rsidRDefault="00A81B72" w:rsidP="003925A1">
      <w:pPr>
        <w:numPr>
          <w:ilvl w:val="0"/>
          <w:numId w:val="1"/>
        </w:numPr>
        <w:spacing w:before="120" w:line="360" w:lineRule="auto"/>
        <w:jc w:val="both"/>
        <w:rPr>
          <w:rFonts w:asciiTheme="majorHAnsi" w:hAnsiTheme="majorHAnsi" w:cstheme="majorHAnsi"/>
        </w:rPr>
      </w:pPr>
      <w:r w:rsidRPr="0078481B">
        <w:rPr>
          <w:rFonts w:asciiTheme="majorHAnsi" w:hAnsiTheme="majorHAnsi" w:cstheme="majorHAnsi"/>
        </w:rPr>
        <w:t>Cons</w:t>
      </w:r>
      <w:r w:rsidR="00FE6B37" w:rsidRPr="0078481B">
        <w:rPr>
          <w:rFonts w:asciiTheme="majorHAnsi" w:hAnsiTheme="majorHAnsi" w:cstheme="majorHAnsi"/>
        </w:rPr>
        <w:t>i</w:t>
      </w:r>
      <w:r w:rsidRPr="0078481B">
        <w:rPr>
          <w:rFonts w:asciiTheme="majorHAnsi" w:hAnsiTheme="majorHAnsi" w:cstheme="majorHAnsi"/>
        </w:rPr>
        <w:t xml:space="preserve">dering how that rule </w:t>
      </w:r>
      <w:r w:rsidR="00357404" w:rsidRPr="0078481B">
        <w:rPr>
          <w:rFonts w:asciiTheme="majorHAnsi" w:hAnsiTheme="majorHAnsi" w:cstheme="majorHAnsi"/>
        </w:rPr>
        <w:t>applie</w:t>
      </w:r>
      <w:r w:rsidR="005042D2" w:rsidRPr="0078481B">
        <w:rPr>
          <w:rFonts w:asciiTheme="majorHAnsi" w:hAnsiTheme="majorHAnsi" w:cstheme="majorHAnsi"/>
        </w:rPr>
        <w:t>d</w:t>
      </w:r>
      <w:r w:rsidR="00357404" w:rsidRPr="0078481B">
        <w:rPr>
          <w:rFonts w:asciiTheme="majorHAnsi" w:hAnsiTheme="majorHAnsi" w:cstheme="majorHAnsi"/>
        </w:rPr>
        <w:t xml:space="preserve"> </w:t>
      </w:r>
      <w:r w:rsidR="00F365E7" w:rsidRPr="0078481B">
        <w:rPr>
          <w:rFonts w:asciiTheme="majorHAnsi" w:hAnsiTheme="majorHAnsi" w:cstheme="majorHAnsi"/>
        </w:rPr>
        <w:t xml:space="preserve">to </w:t>
      </w:r>
      <w:r w:rsidR="00CE2963" w:rsidRPr="0078481B">
        <w:rPr>
          <w:rFonts w:asciiTheme="majorHAnsi" w:hAnsiTheme="majorHAnsi" w:cstheme="majorHAnsi"/>
        </w:rPr>
        <w:t>[</w:t>
      </w:r>
      <w:r w:rsidR="00537B7A" w:rsidRPr="00537B7A">
        <w:rPr>
          <w:rFonts w:asciiTheme="majorHAnsi" w:hAnsiTheme="majorHAnsi" w:cstheme="majorHAnsi"/>
          <w:color w:val="EE0000"/>
        </w:rPr>
        <w:t>Title. Last Name</w:t>
      </w:r>
      <w:r w:rsidR="00CE2963" w:rsidRPr="0078481B">
        <w:rPr>
          <w:rFonts w:asciiTheme="majorHAnsi" w:hAnsiTheme="majorHAnsi" w:cstheme="majorHAnsi"/>
        </w:rPr>
        <w:t>]</w:t>
      </w:r>
      <w:r w:rsidR="00357404" w:rsidRPr="0078481B">
        <w:rPr>
          <w:rFonts w:asciiTheme="majorHAnsi" w:hAnsiTheme="majorHAnsi" w:cstheme="majorHAnsi"/>
        </w:rPr>
        <w:t>’s case</w:t>
      </w:r>
      <w:r w:rsidR="005042D2" w:rsidRPr="0078481B">
        <w:rPr>
          <w:rFonts w:asciiTheme="majorHAnsi" w:hAnsiTheme="majorHAnsi" w:cstheme="majorHAnsi"/>
        </w:rPr>
        <w:t>, at the stage</w:t>
      </w:r>
      <w:r w:rsidR="006D6164" w:rsidRPr="0078481B">
        <w:rPr>
          <w:rFonts w:asciiTheme="majorHAnsi" w:hAnsiTheme="majorHAnsi" w:cstheme="majorHAnsi"/>
        </w:rPr>
        <w:t xml:space="preserve"> [</w:t>
      </w:r>
      <w:r w:rsidR="00537B7A" w:rsidRPr="00EE451B">
        <w:rPr>
          <w:rFonts w:asciiTheme="majorHAnsi" w:hAnsiTheme="majorHAnsi" w:cstheme="majorHAnsi"/>
          <w:color w:val="EE0000"/>
        </w:rPr>
        <w:t>s/he</w:t>
      </w:r>
      <w:r w:rsidR="006D6164" w:rsidRPr="0078481B">
        <w:rPr>
          <w:rFonts w:asciiTheme="majorHAnsi" w:hAnsiTheme="majorHAnsi" w:cstheme="majorHAnsi"/>
        </w:rPr>
        <w:t xml:space="preserve">] </w:t>
      </w:r>
      <w:r w:rsidR="005042D2" w:rsidRPr="0078481B">
        <w:rPr>
          <w:rFonts w:asciiTheme="majorHAnsi" w:hAnsiTheme="majorHAnsi" w:cstheme="majorHAnsi"/>
        </w:rPr>
        <w:t xml:space="preserve">applied to SSWP for </w:t>
      </w:r>
      <w:proofErr w:type="gramStart"/>
      <w:r w:rsidR="005042D2" w:rsidRPr="0078481B">
        <w:rPr>
          <w:rFonts w:asciiTheme="majorHAnsi" w:hAnsiTheme="majorHAnsi" w:cstheme="majorHAnsi"/>
        </w:rPr>
        <w:t>revision,</w:t>
      </w:r>
      <w:r w:rsidR="00357404" w:rsidRPr="0078481B">
        <w:rPr>
          <w:rFonts w:asciiTheme="majorHAnsi" w:hAnsiTheme="majorHAnsi" w:cstheme="majorHAnsi"/>
        </w:rPr>
        <w:t xml:space="preserve"> </w:t>
      </w:r>
      <w:r w:rsidR="00F365E7" w:rsidRPr="0078481B">
        <w:rPr>
          <w:rFonts w:asciiTheme="majorHAnsi" w:hAnsiTheme="majorHAnsi" w:cstheme="majorHAnsi"/>
        </w:rPr>
        <w:t>it can be seen that</w:t>
      </w:r>
      <w:proofErr w:type="gramEnd"/>
      <w:r w:rsidR="00357404" w:rsidRPr="0078481B">
        <w:rPr>
          <w:rFonts w:asciiTheme="majorHAnsi" w:hAnsiTheme="majorHAnsi" w:cstheme="majorHAnsi"/>
        </w:rPr>
        <w:t xml:space="preserve">: </w:t>
      </w:r>
    </w:p>
    <w:p w14:paraId="5ED13512" w14:textId="61B6CB4D" w:rsidR="00357784" w:rsidRPr="0078481B" w:rsidRDefault="00357784" w:rsidP="003925A1">
      <w:pPr>
        <w:numPr>
          <w:ilvl w:val="1"/>
          <w:numId w:val="1"/>
        </w:numPr>
        <w:spacing w:before="120" w:line="360" w:lineRule="auto"/>
        <w:jc w:val="both"/>
        <w:rPr>
          <w:rFonts w:asciiTheme="majorHAnsi" w:hAnsiTheme="majorHAnsi" w:cstheme="majorHAnsi"/>
        </w:rPr>
      </w:pPr>
      <w:r w:rsidRPr="0078481B">
        <w:rPr>
          <w:rFonts w:asciiTheme="majorHAnsi" w:hAnsiTheme="majorHAnsi" w:cstheme="majorHAnsi"/>
        </w:rPr>
        <w:t>the effect of the determination</w:t>
      </w:r>
      <w:r w:rsidR="00AA2071" w:rsidRPr="0078481B">
        <w:rPr>
          <w:rFonts w:asciiTheme="majorHAnsi" w:hAnsiTheme="majorHAnsi" w:cstheme="majorHAnsi"/>
        </w:rPr>
        <w:t xml:space="preserve"> </w:t>
      </w:r>
      <w:r w:rsidRPr="0078481B">
        <w:rPr>
          <w:rFonts w:asciiTheme="majorHAnsi" w:hAnsiTheme="majorHAnsi" w:cstheme="majorHAnsi"/>
        </w:rPr>
        <w:t xml:space="preserve">of </w:t>
      </w:r>
      <w:r w:rsidR="00AA2071" w:rsidRPr="0078481B">
        <w:rPr>
          <w:rFonts w:asciiTheme="majorHAnsi" w:hAnsiTheme="majorHAnsi" w:cstheme="majorHAnsi"/>
          <w:i/>
          <w:iCs/>
        </w:rPr>
        <w:t>MJ</w:t>
      </w:r>
      <w:r w:rsidR="00AA2071" w:rsidRPr="0078481B">
        <w:rPr>
          <w:rFonts w:asciiTheme="majorHAnsi" w:hAnsiTheme="majorHAnsi" w:cstheme="majorHAnsi"/>
        </w:rPr>
        <w:t xml:space="preserve">’s </w:t>
      </w:r>
      <w:r w:rsidRPr="0078481B">
        <w:rPr>
          <w:rFonts w:asciiTheme="majorHAnsi" w:hAnsiTheme="majorHAnsi" w:cstheme="majorHAnsi"/>
        </w:rPr>
        <w:t xml:space="preserve">appeal to the Upper Tribunal is that the adjudicating authority’s </w:t>
      </w:r>
      <w:r w:rsidR="00303A42" w:rsidRPr="0078481B">
        <w:rPr>
          <w:rFonts w:asciiTheme="majorHAnsi" w:hAnsiTheme="majorHAnsi" w:cstheme="majorHAnsi"/>
        </w:rPr>
        <w:t xml:space="preserve">(i.e. the SSWP’s) </w:t>
      </w:r>
      <w:r w:rsidRPr="0078481B">
        <w:rPr>
          <w:rFonts w:asciiTheme="majorHAnsi" w:hAnsiTheme="majorHAnsi" w:cstheme="majorHAnsi"/>
        </w:rPr>
        <w:t xml:space="preserve">decision out of which the </w:t>
      </w:r>
      <w:r w:rsidR="00F365E7" w:rsidRPr="0078481B">
        <w:rPr>
          <w:rFonts w:asciiTheme="majorHAnsi" w:hAnsiTheme="majorHAnsi" w:cstheme="majorHAnsi"/>
          <w:i/>
          <w:iCs/>
        </w:rPr>
        <w:t xml:space="preserve">MJ </w:t>
      </w:r>
      <w:r w:rsidRPr="0078481B">
        <w:rPr>
          <w:rFonts w:asciiTheme="majorHAnsi" w:hAnsiTheme="majorHAnsi" w:cstheme="majorHAnsi"/>
        </w:rPr>
        <w:t>appeal arose was erroneous in point of law</w:t>
      </w:r>
      <w:r w:rsidR="00487A4E" w:rsidRPr="0078481B">
        <w:rPr>
          <w:rFonts w:asciiTheme="majorHAnsi" w:hAnsiTheme="majorHAnsi" w:cstheme="majorHAnsi"/>
        </w:rPr>
        <w:t xml:space="preserve"> </w:t>
      </w:r>
      <w:r w:rsidR="009428D8" w:rsidRPr="0078481B">
        <w:rPr>
          <w:rFonts w:asciiTheme="majorHAnsi" w:hAnsiTheme="majorHAnsi" w:cstheme="majorHAnsi"/>
        </w:rPr>
        <w:t xml:space="preserve">- </w:t>
      </w:r>
      <w:r w:rsidR="00487A4E" w:rsidRPr="0078481B">
        <w:rPr>
          <w:rFonts w:asciiTheme="majorHAnsi" w:hAnsiTheme="majorHAnsi" w:cstheme="majorHAnsi"/>
        </w:rPr>
        <w:t xml:space="preserve">and so the condition at s.27(1)(a) SSA </w:t>
      </w:r>
      <w:r w:rsidR="00517C2C" w:rsidRPr="0078481B">
        <w:rPr>
          <w:rFonts w:asciiTheme="majorHAnsi" w:hAnsiTheme="majorHAnsi" w:cstheme="majorHAnsi"/>
        </w:rPr>
        <w:t>wa</w:t>
      </w:r>
      <w:r w:rsidR="00487A4E" w:rsidRPr="0078481B">
        <w:rPr>
          <w:rFonts w:asciiTheme="majorHAnsi" w:hAnsiTheme="majorHAnsi" w:cstheme="majorHAnsi"/>
        </w:rPr>
        <w:t>s met</w:t>
      </w:r>
      <w:r w:rsidR="00AA2071" w:rsidRPr="0078481B">
        <w:rPr>
          <w:rFonts w:asciiTheme="majorHAnsi" w:hAnsiTheme="majorHAnsi" w:cstheme="majorHAnsi"/>
        </w:rPr>
        <w:t>;</w:t>
      </w:r>
      <w:r w:rsidR="00E65010" w:rsidRPr="0078481B">
        <w:rPr>
          <w:rFonts w:asciiTheme="majorHAnsi" w:hAnsiTheme="majorHAnsi" w:cstheme="majorHAnsi"/>
        </w:rPr>
        <w:t xml:space="preserve"> and</w:t>
      </w:r>
      <w:r w:rsidR="00BD726A" w:rsidRPr="0078481B">
        <w:rPr>
          <w:rFonts w:asciiTheme="majorHAnsi" w:hAnsiTheme="majorHAnsi" w:cstheme="majorHAnsi"/>
        </w:rPr>
        <w:t>,</w:t>
      </w:r>
    </w:p>
    <w:p w14:paraId="192F12EB" w14:textId="6143C716" w:rsidR="009D3CCE" w:rsidRPr="0078481B" w:rsidRDefault="00D63E23" w:rsidP="003925A1">
      <w:pPr>
        <w:numPr>
          <w:ilvl w:val="1"/>
          <w:numId w:val="1"/>
        </w:numPr>
        <w:spacing w:before="120" w:line="360" w:lineRule="auto"/>
        <w:jc w:val="both"/>
        <w:rPr>
          <w:rFonts w:asciiTheme="majorHAnsi" w:hAnsiTheme="majorHAnsi" w:cstheme="majorHAnsi"/>
        </w:rPr>
      </w:pPr>
      <w:r w:rsidRPr="0078481B">
        <w:rPr>
          <w:rFonts w:asciiTheme="majorHAnsi" w:hAnsiTheme="majorHAnsi" w:cstheme="majorHAnsi"/>
        </w:rPr>
        <w:t xml:space="preserve">when </w:t>
      </w:r>
      <w:r w:rsidR="00CE2963" w:rsidRPr="0078481B">
        <w:rPr>
          <w:rFonts w:asciiTheme="majorHAnsi" w:hAnsiTheme="majorHAnsi" w:cstheme="majorHAnsi"/>
        </w:rPr>
        <w:t>[</w:t>
      </w:r>
      <w:r w:rsidR="00EE451B" w:rsidRPr="00EE451B">
        <w:rPr>
          <w:rFonts w:asciiTheme="majorHAnsi" w:hAnsiTheme="majorHAnsi" w:cstheme="majorHAnsi"/>
          <w:color w:val="EE0000"/>
        </w:rPr>
        <w:t>Title. Last Name</w:t>
      </w:r>
      <w:r w:rsidR="00CE2963" w:rsidRPr="0078481B">
        <w:rPr>
          <w:rFonts w:asciiTheme="majorHAnsi" w:hAnsiTheme="majorHAnsi" w:cstheme="majorHAnsi"/>
        </w:rPr>
        <w:t>]</w:t>
      </w:r>
      <w:r w:rsidRPr="0078481B">
        <w:rPr>
          <w:rFonts w:asciiTheme="majorHAnsi" w:hAnsiTheme="majorHAnsi" w:cstheme="majorHAnsi"/>
        </w:rPr>
        <w:t xml:space="preserve"> applied for </w:t>
      </w:r>
      <w:r w:rsidR="005042D2" w:rsidRPr="0078481B">
        <w:rPr>
          <w:rFonts w:asciiTheme="majorHAnsi" w:hAnsiTheme="majorHAnsi" w:cstheme="majorHAnsi"/>
        </w:rPr>
        <w:t>a mandatory reconsideration of that decision (i</w:t>
      </w:r>
      <w:r w:rsidR="00703BB0" w:rsidRPr="0078481B">
        <w:rPr>
          <w:rFonts w:asciiTheme="majorHAnsi" w:hAnsiTheme="majorHAnsi" w:cstheme="majorHAnsi"/>
        </w:rPr>
        <w:t>.</w:t>
      </w:r>
      <w:r w:rsidR="005042D2" w:rsidRPr="0078481B">
        <w:rPr>
          <w:rFonts w:asciiTheme="majorHAnsi" w:hAnsiTheme="majorHAnsi" w:cstheme="majorHAnsi"/>
        </w:rPr>
        <w:t>e</w:t>
      </w:r>
      <w:r w:rsidR="00703BB0" w:rsidRPr="0078481B">
        <w:rPr>
          <w:rFonts w:asciiTheme="majorHAnsi" w:hAnsiTheme="majorHAnsi" w:cstheme="majorHAnsi"/>
        </w:rPr>
        <w:t>.</w:t>
      </w:r>
      <w:r w:rsidR="005042D2" w:rsidRPr="0078481B">
        <w:rPr>
          <w:rFonts w:asciiTheme="majorHAnsi" w:hAnsiTheme="majorHAnsi" w:cstheme="majorHAnsi"/>
        </w:rPr>
        <w:t xml:space="preserve"> a revision) then </w:t>
      </w:r>
      <w:r w:rsidR="00E65010" w:rsidRPr="0078481B">
        <w:rPr>
          <w:rFonts w:asciiTheme="majorHAnsi" w:hAnsiTheme="majorHAnsi" w:cstheme="majorHAnsi"/>
        </w:rPr>
        <w:t xml:space="preserve">while the SSWP’s supersession decision, was made before UTJ West’s decision in </w:t>
      </w:r>
      <w:r w:rsidR="00E65010" w:rsidRPr="0078481B">
        <w:rPr>
          <w:rFonts w:asciiTheme="majorHAnsi" w:hAnsiTheme="majorHAnsi" w:cstheme="majorHAnsi"/>
          <w:i/>
          <w:iCs/>
        </w:rPr>
        <w:t>MJ</w:t>
      </w:r>
      <w:r w:rsidR="00625288" w:rsidRPr="0078481B">
        <w:rPr>
          <w:rFonts w:asciiTheme="majorHAnsi" w:hAnsiTheme="majorHAnsi" w:cstheme="majorHAnsi"/>
          <w:i/>
          <w:iCs/>
        </w:rPr>
        <w:t xml:space="preserve">, </w:t>
      </w:r>
      <w:r w:rsidR="00625288" w:rsidRPr="0078481B">
        <w:rPr>
          <w:rFonts w:asciiTheme="majorHAnsi" w:hAnsiTheme="majorHAnsi" w:cstheme="majorHAnsi"/>
        </w:rPr>
        <w:t xml:space="preserve">when the SSWP </w:t>
      </w:r>
      <w:r w:rsidR="00386A63" w:rsidRPr="0078481B">
        <w:rPr>
          <w:rFonts w:asciiTheme="majorHAnsi" w:hAnsiTheme="majorHAnsi" w:cstheme="majorHAnsi"/>
        </w:rPr>
        <w:t xml:space="preserve">was faced with an application to revise </w:t>
      </w:r>
      <w:r w:rsidR="001F677F" w:rsidRPr="0078481B">
        <w:rPr>
          <w:rFonts w:asciiTheme="majorHAnsi" w:hAnsiTheme="majorHAnsi" w:cstheme="majorHAnsi"/>
        </w:rPr>
        <w:t>that decision</w:t>
      </w:r>
      <w:r w:rsidR="00386A63" w:rsidRPr="0078481B">
        <w:rPr>
          <w:rFonts w:asciiTheme="majorHAnsi" w:hAnsiTheme="majorHAnsi" w:cstheme="majorHAnsi"/>
        </w:rPr>
        <w:t xml:space="preserve"> the</w:t>
      </w:r>
      <w:r w:rsidR="000D5AB9" w:rsidRPr="0078481B">
        <w:rPr>
          <w:rFonts w:asciiTheme="majorHAnsi" w:hAnsiTheme="majorHAnsi" w:cstheme="majorHAnsi"/>
        </w:rPr>
        <w:t>n s.27(1)(b)(ii) also applied</w:t>
      </w:r>
      <w:r w:rsidR="00FE6B37" w:rsidRPr="0078481B">
        <w:rPr>
          <w:rFonts w:asciiTheme="majorHAnsi" w:hAnsiTheme="majorHAnsi" w:cstheme="majorHAnsi"/>
        </w:rPr>
        <w:t xml:space="preserve"> (that is “</w:t>
      </w:r>
      <w:r w:rsidR="009D3CCE" w:rsidRPr="0078481B">
        <w:rPr>
          <w:rFonts w:asciiTheme="majorHAnsi" w:hAnsiTheme="majorHAnsi" w:cstheme="majorHAnsi"/>
        </w:rPr>
        <w:t xml:space="preserve">a decision </w:t>
      </w:r>
      <w:r w:rsidR="00A26CF1" w:rsidRPr="0078481B">
        <w:rPr>
          <w:rFonts w:asciiTheme="majorHAnsi" w:hAnsiTheme="majorHAnsi" w:cstheme="majorHAnsi"/>
        </w:rPr>
        <w:t>[</w:t>
      </w:r>
      <w:r w:rsidR="00305FE9" w:rsidRPr="0078481B">
        <w:rPr>
          <w:rFonts w:asciiTheme="majorHAnsi" w:hAnsiTheme="majorHAnsi" w:cstheme="majorHAnsi"/>
        </w:rPr>
        <w:t>fell</w:t>
      </w:r>
      <w:r w:rsidR="00A26CF1" w:rsidRPr="0078481B">
        <w:rPr>
          <w:rFonts w:asciiTheme="majorHAnsi" w:hAnsiTheme="majorHAnsi" w:cstheme="majorHAnsi"/>
        </w:rPr>
        <w:t>]</w:t>
      </w:r>
      <w:r w:rsidR="00305FE9" w:rsidRPr="0078481B">
        <w:rPr>
          <w:rFonts w:asciiTheme="majorHAnsi" w:hAnsiTheme="majorHAnsi" w:cstheme="majorHAnsi"/>
        </w:rPr>
        <w:t xml:space="preserve"> </w:t>
      </w:r>
      <w:r w:rsidR="009D3CCE" w:rsidRPr="0078481B">
        <w:rPr>
          <w:rFonts w:asciiTheme="majorHAnsi" w:hAnsiTheme="majorHAnsi" w:cstheme="majorHAnsi"/>
        </w:rPr>
        <w:t xml:space="preserve">to be made by the </w:t>
      </w:r>
      <w:r w:rsidR="0040433F" w:rsidRPr="0078481B">
        <w:rPr>
          <w:rFonts w:asciiTheme="majorHAnsi" w:hAnsiTheme="majorHAnsi" w:cstheme="majorHAnsi"/>
        </w:rPr>
        <w:t>[</w:t>
      </w:r>
      <w:r w:rsidR="00305FE9" w:rsidRPr="0078481B">
        <w:rPr>
          <w:rFonts w:asciiTheme="majorHAnsi" w:hAnsiTheme="majorHAnsi" w:cstheme="majorHAnsi"/>
        </w:rPr>
        <w:t>SSWP</w:t>
      </w:r>
      <w:r w:rsidR="0040433F" w:rsidRPr="0078481B">
        <w:rPr>
          <w:rFonts w:asciiTheme="majorHAnsi" w:hAnsiTheme="majorHAnsi" w:cstheme="majorHAnsi"/>
        </w:rPr>
        <w:t>]</w:t>
      </w:r>
      <w:r w:rsidR="00305FE9" w:rsidRPr="0078481B">
        <w:rPr>
          <w:rFonts w:asciiTheme="majorHAnsi" w:hAnsiTheme="majorHAnsi" w:cstheme="majorHAnsi"/>
        </w:rPr>
        <w:t xml:space="preserve"> </w:t>
      </w:r>
      <w:r w:rsidR="009D3CCE" w:rsidRPr="0078481B">
        <w:rPr>
          <w:rFonts w:asciiTheme="majorHAnsi" w:hAnsiTheme="majorHAnsi" w:cstheme="majorHAnsi"/>
        </w:rPr>
        <w:t xml:space="preserve">in accordance with </w:t>
      </w:r>
      <w:r w:rsidR="00FE6B37" w:rsidRPr="0078481B">
        <w:rPr>
          <w:rFonts w:asciiTheme="majorHAnsi" w:hAnsiTheme="majorHAnsi" w:cstheme="majorHAnsi"/>
        </w:rPr>
        <w:t xml:space="preserve">[the </w:t>
      </w:r>
      <w:r w:rsidR="00FE6B37" w:rsidRPr="0078481B">
        <w:rPr>
          <w:rFonts w:asciiTheme="majorHAnsi" w:hAnsiTheme="majorHAnsi" w:cstheme="majorHAnsi"/>
          <w:i/>
          <w:iCs/>
        </w:rPr>
        <w:t>MJ</w:t>
      </w:r>
      <w:r w:rsidR="00FE6B37" w:rsidRPr="0078481B">
        <w:rPr>
          <w:rFonts w:asciiTheme="majorHAnsi" w:hAnsiTheme="majorHAnsi" w:cstheme="majorHAnsi"/>
        </w:rPr>
        <w:t xml:space="preserve">] </w:t>
      </w:r>
      <w:r w:rsidR="009D3CCE" w:rsidRPr="0078481B">
        <w:rPr>
          <w:rFonts w:asciiTheme="majorHAnsi" w:hAnsiTheme="majorHAnsi" w:cstheme="majorHAnsi"/>
        </w:rPr>
        <w:t>determination</w:t>
      </w:r>
      <w:r w:rsidR="009C5B49" w:rsidRPr="0078481B">
        <w:rPr>
          <w:rFonts w:asciiTheme="majorHAnsi" w:hAnsiTheme="majorHAnsi" w:cstheme="majorHAnsi"/>
        </w:rPr>
        <w:t xml:space="preserve"> […]</w:t>
      </w:r>
      <w:r w:rsidR="009D3CCE" w:rsidRPr="0078481B">
        <w:rPr>
          <w:rFonts w:asciiTheme="majorHAnsi" w:hAnsiTheme="majorHAnsi" w:cstheme="majorHAnsi"/>
        </w:rPr>
        <w:t xml:space="preserve"> as to whether to revise, under </w:t>
      </w:r>
      <w:r w:rsidR="00AC0C42" w:rsidRPr="0078481B">
        <w:rPr>
          <w:rFonts w:asciiTheme="majorHAnsi" w:hAnsiTheme="majorHAnsi" w:cstheme="majorHAnsi"/>
        </w:rPr>
        <w:t>s.</w:t>
      </w:r>
      <w:r w:rsidR="009D3CCE" w:rsidRPr="0078481B">
        <w:rPr>
          <w:rFonts w:asciiTheme="majorHAnsi" w:hAnsiTheme="majorHAnsi" w:cstheme="majorHAnsi"/>
        </w:rPr>
        <w:t xml:space="preserve">9 </w:t>
      </w:r>
      <w:r w:rsidR="00DC04BD" w:rsidRPr="0078481B">
        <w:rPr>
          <w:rFonts w:asciiTheme="majorHAnsi" w:hAnsiTheme="majorHAnsi" w:cstheme="majorHAnsi"/>
        </w:rPr>
        <w:t>[</w:t>
      </w:r>
      <w:r w:rsidR="00AC0C42" w:rsidRPr="0078481B">
        <w:rPr>
          <w:rFonts w:asciiTheme="majorHAnsi" w:hAnsiTheme="majorHAnsi" w:cstheme="majorHAnsi"/>
        </w:rPr>
        <w:t>SSA</w:t>
      </w:r>
      <w:r w:rsidR="00DC04BD" w:rsidRPr="0078481B">
        <w:rPr>
          <w:rFonts w:asciiTheme="majorHAnsi" w:hAnsiTheme="majorHAnsi" w:cstheme="majorHAnsi"/>
        </w:rPr>
        <w:t>]</w:t>
      </w:r>
      <w:r w:rsidR="009D3CCE" w:rsidRPr="0078481B">
        <w:rPr>
          <w:rFonts w:asciiTheme="majorHAnsi" w:hAnsiTheme="majorHAnsi" w:cstheme="majorHAnsi"/>
        </w:rPr>
        <w:t xml:space="preserve">, a decision as to </w:t>
      </w:r>
      <w:r w:rsidR="009C5B49" w:rsidRPr="0078481B">
        <w:rPr>
          <w:rFonts w:asciiTheme="majorHAnsi" w:hAnsiTheme="majorHAnsi" w:cstheme="majorHAnsi"/>
        </w:rPr>
        <w:t>[</w:t>
      </w:r>
      <w:r w:rsidR="00EE451B" w:rsidRPr="00EE451B">
        <w:rPr>
          <w:rFonts w:asciiTheme="majorHAnsi" w:hAnsiTheme="majorHAnsi" w:cstheme="majorHAnsi"/>
          <w:color w:val="EE0000"/>
        </w:rPr>
        <w:t>Title. Last Name</w:t>
      </w:r>
      <w:r w:rsidR="009C5B49" w:rsidRPr="0078481B">
        <w:rPr>
          <w:rFonts w:asciiTheme="majorHAnsi" w:hAnsiTheme="majorHAnsi" w:cstheme="majorHAnsi"/>
        </w:rPr>
        <w:t>’s]</w:t>
      </w:r>
      <w:r w:rsidR="009D3CCE" w:rsidRPr="0078481B">
        <w:rPr>
          <w:rFonts w:asciiTheme="majorHAnsi" w:hAnsiTheme="majorHAnsi" w:cstheme="majorHAnsi"/>
        </w:rPr>
        <w:t xml:space="preserve"> entitlement to benefit</w:t>
      </w:r>
      <w:r w:rsidR="009C5B49" w:rsidRPr="0078481B">
        <w:rPr>
          <w:rFonts w:asciiTheme="majorHAnsi" w:hAnsiTheme="majorHAnsi" w:cstheme="majorHAnsi"/>
        </w:rPr>
        <w:t>”</w:t>
      </w:r>
      <w:r w:rsidR="001F677F" w:rsidRPr="0078481B">
        <w:rPr>
          <w:rFonts w:asciiTheme="majorHAnsi" w:hAnsiTheme="majorHAnsi" w:cstheme="majorHAnsi"/>
        </w:rPr>
        <w:t>)</w:t>
      </w:r>
      <w:r w:rsidR="001250F7" w:rsidRPr="0078481B">
        <w:rPr>
          <w:rFonts w:asciiTheme="majorHAnsi" w:hAnsiTheme="majorHAnsi" w:cstheme="majorHAnsi"/>
        </w:rPr>
        <w:t>.</w:t>
      </w:r>
    </w:p>
    <w:p w14:paraId="4EB441B0" w14:textId="15D8CCD4" w:rsidR="0091719B" w:rsidRPr="0078481B" w:rsidRDefault="00467EAF" w:rsidP="003925A1">
      <w:pPr>
        <w:numPr>
          <w:ilvl w:val="0"/>
          <w:numId w:val="1"/>
        </w:numPr>
        <w:spacing w:before="120" w:line="360" w:lineRule="auto"/>
        <w:jc w:val="both"/>
        <w:rPr>
          <w:rFonts w:asciiTheme="majorHAnsi" w:hAnsiTheme="majorHAnsi" w:cstheme="majorHAnsi"/>
        </w:rPr>
      </w:pPr>
      <w:r w:rsidRPr="0078481B">
        <w:rPr>
          <w:rFonts w:asciiTheme="majorHAnsi" w:hAnsiTheme="majorHAnsi" w:cstheme="majorHAnsi"/>
        </w:rPr>
        <w:t>Therefore</w:t>
      </w:r>
      <w:r w:rsidR="005E4125" w:rsidRPr="0078481B">
        <w:rPr>
          <w:rFonts w:asciiTheme="majorHAnsi" w:hAnsiTheme="majorHAnsi" w:cstheme="majorHAnsi"/>
        </w:rPr>
        <w:t>, at the mandatory reconsideration stage,</w:t>
      </w:r>
      <w:r w:rsidR="00AE509E" w:rsidRPr="0078481B">
        <w:rPr>
          <w:rFonts w:asciiTheme="majorHAnsi" w:hAnsiTheme="majorHAnsi" w:cstheme="majorHAnsi"/>
        </w:rPr>
        <w:t xml:space="preserve"> s.27(3) applied and, in so far as the decision related to </w:t>
      </w:r>
      <w:r w:rsidR="00CE2963" w:rsidRPr="0078481B">
        <w:rPr>
          <w:rFonts w:asciiTheme="majorHAnsi" w:hAnsiTheme="majorHAnsi" w:cstheme="majorHAnsi"/>
        </w:rPr>
        <w:t>[</w:t>
      </w:r>
      <w:r w:rsidR="0095515B" w:rsidRPr="0095515B">
        <w:rPr>
          <w:rFonts w:asciiTheme="majorHAnsi" w:hAnsiTheme="majorHAnsi" w:cstheme="majorHAnsi"/>
          <w:color w:val="EE0000"/>
        </w:rPr>
        <w:t>Title. Last Name</w:t>
      </w:r>
      <w:r w:rsidR="00CE2963" w:rsidRPr="0078481B">
        <w:rPr>
          <w:rFonts w:asciiTheme="majorHAnsi" w:hAnsiTheme="majorHAnsi" w:cstheme="majorHAnsi"/>
        </w:rPr>
        <w:t>]</w:t>
      </w:r>
      <w:r w:rsidR="00AE509E" w:rsidRPr="0078481B">
        <w:rPr>
          <w:rFonts w:asciiTheme="majorHAnsi" w:hAnsiTheme="majorHAnsi" w:cstheme="majorHAnsi"/>
        </w:rPr>
        <w:t xml:space="preserve">’s entitlement to UC in respect of a period before the decision in MJ (the date of the relevant determination) the SSWP was </w:t>
      </w:r>
      <w:r w:rsidR="00F873D7" w:rsidRPr="0078481B">
        <w:rPr>
          <w:rFonts w:asciiTheme="majorHAnsi" w:hAnsiTheme="majorHAnsi" w:cstheme="majorHAnsi"/>
        </w:rPr>
        <w:t xml:space="preserve">obliged </w:t>
      </w:r>
      <w:r w:rsidR="00AE509E" w:rsidRPr="0078481B">
        <w:rPr>
          <w:rFonts w:asciiTheme="majorHAnsi" w:hAnsiTheme="majorHAnsi" w:cstheme="majorHAnsi"/>
        </w:rPr>
        <w:t>to make that decision as i</w:t>
      </w:r>
      <w:r w:rsidR="00736560" w:rsidRPr="0078481B">
        <w:rPr>
          <w:rFonts w:asciiTheme="majorHAnsi" w:hAnsiTheme="majorHAnsi" w:cstheme="majorHAnsi"/>
        </w:rPr>
        <w:t>f her</w:t>
      </w:r>
      <w:r w:rsidR="00AE509E" w:rsidRPr="0078481B">
        <w:rPr>
          <w:rFonts w:asciiTheme="majorHAnsi" w:hAnsiTheme="majorHAnsi" w:cstheme="majorHAnsi"/>
        </w:rPr>
        <w:t xml:space="preserve"> decision </w:t>
      </w:r>
      <w:r w:rsidR="00736560" w:rsidRPr="0078481B">
        <w:rPr>
          <w:rFonts w:asciiTheme="majorHAnsi" w:hAnsiTheme="majorHAnsi" w:cstheme="majorHAnsi"/>
        </w:rPr>
        <w:t xml:space="preserve">in </w:t>
      </w:r>
      <w:r w:rsidR="00736560" w:rsidRPr="0078481B">
        <w:rPr>
          <w:rFonts w:asciiTheme="majorHAnsi" w:hAnsiTheme="majorHAnsi" w:cstheme="majorHAnsi"/>
          <w:i/>
          <w:iCs/>
        </w:rPr>
        <w:t xml:space="preserve">MJ </w:t>
      </w:r>
      <w:r w:rsidR="00AE509E" w:rsidRPr="0078481B">
        <w:rPr>
          <w:rFonts w:asciiTheme="majorHAnsi" w:hAnsiTheme="majorHAnsi" w:cstheme="majorHAnsi"/>
        </w:rPr>
        <w:t>had been found by the Upper Tribunal not to have been erroneous in point of law</w:t>
      </w:r>
      <w:r w:rsidR="00736560" w:rsidRPr="0078481B">
        <w:rPr>
          <w:rFonts w:asciiTheme="majorHAnsi" w:hAnsiTheme="majorHAnsi" w:cstheme="majorHAnsi"/>
        </w:rPr>
        <w:t>.</w:t>
      </w:r>
    </w:p>
    <w:p w14:paraId="3BAF3ACE" w14:textId="6CD6C9EE" w:rsidR="00E37FD9" w:rsidRPr="0078481B" w:rsidRDefault="004350B5" w:rsidP="003925A1">
      <w:pPr>
        <w:numPr>
          <w:ilvl w:val="0"/>
          <w:numId w:val="1"/>
        </w:numPr>
        <w:spacing w:before="120" w:line="360" w:lineRule="auto"/>
        <w:jc w:val="both"/>
        <w:rPr>
          <w:rFonts w:asciiTheme="majorHAnsi" w:hAnsiTheme="majorHAnsi" w:cstheme="majorHAnsi"/>
        </w:rPr>
      </w:pPr>
      <w:r w:rsidRPr="0078481B">
        <w:rPr>
          <w:rFonts w:asciiTheme="majorHAnsi" w:hAnsiTheme="majorHAnsi" w:cstheme="majorHAnsi"/>
        </w:rPr>
        <w:t xml:space="preserve">The Tribunal will note, however, that </w:t>
      </w:r>
      <w:r w:rsidR="009B1960" w:rsidRPr="0078481B">
        <w:rPr>
          <w:rFonts w:asciiTheme="majorHAnsi" w:hAnsiTheme="majorHAnsi" w:cstheme="majorHAnsi"/>
        </w:rPr>
        <w:t>s.27 only applies where a decision falls to be made by the SSWP (</w:t>
      </w:r>
      <w:r w:rsidR="00BB6AB0" w:rsidRPr="0078481B">
        <w:rPr>
          <w:rFonts w:asciiTheme="majorHAnsi" w:hAnsiTheme="majorHAnsi" w:cstheme="majorHAnsi"/>
        </w:rPr>
        <w:t xml:space="preserve">all the </w:t>
      </w:r>
      <w:r w:rsidR="009B1960" w:rsidRPr="0078481B">
        <w:rPr>
          <w:rFonts w:asciiTheme="majorHAnsi" w:hAnsiTheme="majorHAnsi" w:cstheme="majorHAnsi"/>
        </w:rPr>
        <w:t>s.27(1)(b)</w:t>
      </w:r>
      <w:r w:rsidR="00BB6AB0" w:rsidRPr="0078481B">
        <w:rPr>
          <w:rFonts w:asciiTheme="majorHAnsi" w:hAnsiTheme="majorHAnsi" w:cstheme="majorHAnsi"/>
        </w:rPr>
        <w:t xml:space="preserve"> heads refer to when the SSWP is the one making the decision</w:t>
      </w:r>
      <w:r w:rsidR="009B1960" w:rsidRPr="0078481B">
        <w:rPr>
          <w:rFonts w:asciiTheme="majorHAnsi" w:hAnsiTheme="majorHAnsi" w:cstheme="majorHAnsi"/>
        </w:rPr>
        <w:t>).</w:t>
      </w:r>
      <w:r w:rsidR="00116373" w:rsidRPr="0078481B">
        <w:rPr>
          <w:rFonts w:asciiTheme="majorHAnsi" w:hAnsiTheme="majorHAnsi" w:cstheme="majorHAnsi"/>
        </w:rPr>
        <w:t xml:space="preserve"> </w:t>
      </w:r>
      <w:r w:rsidR="00BB6AB0" w:rsidRPr="0078481B">
        <w:rPr>
          <w:rFonts w:asciiTheme="majorHAnsi" w:hAnsiTheme="majorHAnsi" w:cstheme="majorHAnsi"/>
        </w:rPr>
        <w:t>S.27</w:t>
      </w:r>
      <w:r w:rsidR="00116373" w:rsidRPr="0078481B">
        <w:rPr>
          <w:rFonts w:asciiTheme="majorHAnsi" w:hAnsiTheme="majorHAnsi" w:cstheme="majorHAnsi"/>
        </w:rPr>
        <w:t xml:space="preserve"> does not apply when a decision falls to be made by a tribunal</w:t>
      </w:r>
      <w:r w:rsidR="00337507" w:rsidRPr="0078481B">
        <w:rPr>
          <w:rFonts w:asciiTheme="majorHAnsi" w:hAnsiTheme="majorHAnsi" w:cstheme="majorHAnsi"/>
        </w:rPr>
        <w:t>.  W</w:t>
      </w:r>
      <w:r w:rsidR="00131F09" w:rsidRPr="0078481B">
        <w:rPr>
          <w:rFonts w:asciiTheme="majorHAnsi" w:hAnsiTheme="majorHAnsi" w:cstheme="majorHAnsi"/>
        </w:rPr>
        <w:t>hile the SSWP is correct that she was bound, when considering a</w:t>
      </w:r>
      <w:r w:rsidR="00331579" w:rsidRPr="0078481B">
        <w:rPr>
          <w:rFonts w:asciiTheme="majorHAnsi" w:hAnsiTheme="majorHAnsi" w:cstheme="majorHAnsi"/>
        </w:rPr>
        <w:t>n application for</w:t>
      </w:r>
      <w:r w:rsidR="00131F09" w:rsidRPr="0078481B">
        <w:rPr>
          <w:rFonts w:asciiTheme="majorHAnsi" w:hAnsiTheme="majorHAnsi" w:cstheme="majorHAnsi"/>
        </w:rPr>
        <w:t xml:space="preserve"> revision </w:t>
      </w:r>
      <w:r w:rsidR="00331579" w:rsidRPr="0078481B">
        <w:rPr>
          <w:rFonts w:asciiTheme="majorHAnsi" w:hAnsiTheme="majorHAnsi" w:cstheme="majorHAnsi"/>
        </w:rPr>
        <w:t xml:space="preserve">of the decision </w:t>
      </w:r>
      <w:r w:rsidR="00E71D17" w:rsidRPr="0078481B">
        <w:rPr>
          <w:rFonts w:asciiTheme="majorHAnsi" w:hAnsiTheme="majorHAnsi" w:cstheme="majorHAnsi"/>
        </w:rPr>
        <w:t xml:space="preserve">by s.27 </w:t>
      </w:r>
      <w:r w:rsidR="00E37FD9" w:rsidRPr="0078481B">
        <w:rPr>
          <w:rFonts w:asciiTheme="majorHAnsi" w:hAnsiTheme="majorHAnsi" w:cstheme="majorHAnsi"/>
        </w:rPr>
        <w:t>that does not apply to the Tribunal.</w:t>
      </w:r>
    </w:p>
    <w:p w14:paraId="5511CB6C" w14:textId="32EC8877" w:rsidR="00407BF6" w:rsidRPr="00CF2083" w:rsidRDefault="00E37FD9" w:rsidP="0064704D">
      <w:pPr>
        <w:numPr>
          <w:ilvl w:val="0"/>
          <w:numId w:val="1"/>
        </w:numPr>
        <w:spacing w:before="120" w:line="360" w:lineRule="auto"/>
        <w:jc w:val="both"/>
        <w:rPr>
          <w:rFonts w:asciiTheme="majorHAnsi" w:hAnsiTheme="majorHAnsi" w:cstheme="majorHAnsi"/>
        </w:rPr>
      </w:pPr>
      <w:r w:rsidRPr="00CF2083">
        <w:rPr>
          <w:rFonts w:asciiTheme="majorHAnsi" w:hAnsiTheme="majorHAnsi" w:cstheme="majorHAnsi"/>
        </w:rPr>
        <w:t>Crucially</w:t>
      </w:r>
      <w:r w:rsidR="00400B47" w:rsidRPr="00CF2083">
        <w:rPr>
          <w:rFonts w:asciiTheme="majorHAnsi" w:hAnsiTheme="majorHAnsi" w:cstheme="majorHAnsi"/>
        </w:rPr>
        <w:t>,</w:t>
      </w:r>
      <w:r w:rsidRPr="00CF2083">
        <w:rPr>
          <w:rFonts w:asciiTheme="majorHAnsi" w:hAnsiTheme="majorHAnsi" w:cstheme="majorHAnsi"/>
        </w:rPr>
        <w:t xml:space="preserve"> that is because </w:t>
      </w:r>
      <w:r w:rsidR="00CE2963" w:rsidRPr="00CF2083">
        <w:rPr>
          <w:rFonts w:asciiTheme="majorHAnsi" w:hAnsiTheme="majorHAnsi" w:cstheme="majorHAnsi"/>
        </w:rPr>
        <w:t>[</w:t>
      </w:r>
      <w:r w:rsidR="0095515B" w:rsidRPr="00CF2083">
        <w:rPr>
          <w:rFonts w:asciiTheme="majorHAnsi" w:hAnsiTheme="majorHAnsi" w:cstheme="majorHAnsi"/>
          <w:color w:val="EE0000"/>
        </w:rPr>
        <w:t>Title. Last Name</w:t>
      </w:r>
      <w:r w:rsidR="00CF2083" w:rsidRPr="00CF2083">
        <w:rPr>
          <w:rFonts w:asciiTheme="majorHAnsi" w:hAnsiTheme="majorHAnsi" w:cstheme="majorHAnsi"/>
        </w:rPr>
        <w:t>]</w:t>
      </w:r>
      <w:r w:rsidRPr="00CF2083">
        <w:rPr>
          <w:rFonts w:asciiTheme="majorHAnsi" w:hAnsiTheme="majorHAnsi" w:cstheme="majorHAnsi"/>
        </w:rPr>
        <w:t xml:space="preserve">’s appeal is not against the </w:t>
      </w:r>
      <w:r w:rsidR="00683786" w:rsidRPr="00CF2083">
        <w:rPr>
          <w:rFonts w:asciiTheme="majorHAnsi" w:hAnsiTheme="majorHAnsi" w:cstheme="majorHAnsi"/>
        </w:rPr>
        <w:t>decision which SSWP made refusing to revise the supersession decision</w:t>
      </w:r>
      <w:r w:rsidR="0079592C">
        <w:rPr>
          <w:rStyle w:val="FootnoteReference"/>
          <w:rFonts w:asciiTheme="majorHAnsi" w:hAnsiTheme="majorHAnsi" w:cstheme="majorHAnsi"/>
        </w:rPr>
        <w:footnoteReference w:id="4"/>
      </w:r>
      <w:r w:rsidR="00683786" w:rsidRPr="00CF2083">
        <w:rPr>
          <w:rFonts w:asciiTheme="majorHAnsi" w:hAnsiTheme="majorHAnsi" w:cstheme="majorHAnsi"/>
        </w:rPr>
        <w:t>. Rather it is against the supersession decision itself</w:t>
      </w:r>
      <w:r w:rsidR="00A41140" w:rsidRPr="00CF2083">
        <w:rPr>
          <w:rFonts w:asciiTheme="majorHAnsi" w:hAnsiTheme="majorHAnsi" w:cstheme="majorHAnsi"/>
        </w:rPr>
        <w:t>,</w:t>
      </w:r>
      <w:r w:rsidR="00683786" w:rsidRPr="00CF2083">
        <w:rPr>
          <w:rFonts w:asciiTheme="majorHAnsi" w:hAnsiTheme="majorHAnsi" w:cstheme="majorHAnsi"/>
        </w:rPr>
        <w:t xml:space="preserve"> s. 12(1) </w:t>
      </w:r>
      <w:r w:rsidR="00272A5F" w:rsidRPr="00CF2083">
        <w:rPr>
          <w:rFonts w:asciiTheme="majorHAnsi" w:hAnsiTheme="majorHAnsi" w:cstheme="majorHAnsi"/>
        </w:rPr>
        <w:t xml:space="preserve">SSA </w:t>
      </w:r>
      <w:r w:rsidR="00683786" w:rsidRPr="00CF2083">
        <w:rPr>
          <w:rFonts w:asciiTheme="majorHAnsi" w:hAnsiTheme="majorHAnsi" w:cstheme="majorHAnsi"/>
        </w:rPr>
        <w:t>does not confer a right of appeal against a refusal to revise</w:t>
      </w:r>
      <w:r w:rsidR="00E76D1C" w:rsidRPr="00CF2083">
        <w:rPr>
          <w:rFonts w:asciiTheme="majorHAnsi" w:hAnsiTheme="majorHAnsi" w:cstheme="majorHAnsi"/>
        </w:rPr>
        <w:t>.</w:t>
      </w:r>
      <w:r w:rsidR="00A41140" w:rsidRPr="00CF2083">
        <w:rPr>
          <w:rFonts w:asciiTheme="majorHAnsi" w:hAnsiTheme="majorHAnsi" w:cstheme="majorHAnsi"/>
        </w:rPr>
        <w:t xml:space="preserve"> Authority for this can be found </w:t>
      </w:r>
      <w:r w:rsidR="00635338" w:rsidRPr="00CF2083">
        <w:rPr>
          <w:rFonts w:asciiTheme="majorHAnsi" w:hAnsiTheme="majorHAnsi" w:cstheme="majorHAnsi"/>
        </w:rPr>
        <w:t>at para.17 of R(IS) 15/04:</w:t>
      </w:r>
    </w:p>
    <w:p w14:paraId="57E291DB" w14:textId="7125E37B" w:rsidR="00EA0D71" w:rsidRPr="0078481B" w:rsidRDefault="00EA0D71" w:rsidP="00CF2083">
      <w:pPr>
        <w:spacing w:before="120" w:after="240" w:line="360" w:lineRule="auto"/>
        <w:ind w:left="720"/>
        <w:jc w:val="both"/>
        <w:rPr>
          <w:rFonts w:asciiTheme="majorHAnsi" w:hAnsiTheme="majorHAnsi" w:cstheme="majorHAnsi"/>
          <w:i/>
          <w:iCs/>
        </w:rPr>
      </w:pPr>
      <w:r w:rsidRPr="0078481B">
        <w:rPr>
          <w:rFonts w:asciiTheme="majorHAnsi" w:hAnsiTheme="majorHAnsi" w:cstheme="majorHAnsi"/>
          <w:i/>
          <w:iCs/>
        </w:rPr>
        <w:t>“It is common ground that a decision under section 9 to revise or not revise is not itself made appealable by the 1998 Act; the only decision which can be appealed is the original decision as either revised or not revised.</w:t>
      </w:r>
      <w:r w:rsidR="006B3D73" w:rsidRPr="0078481B">
        <w:rPr>
          <w:rFonts w:asciiTheme="majorHAnsi" w:hAnsiTheme="majorHAnsi" w:cstheme="majorHAnsi"/>
          <w:i/>
          <w:iCs/>
        </w:rPr>
        <w:t xml:space="preserve"> […]</w:t>
      </w:r>
      <w:r w:rsidRPr="0078481B">
        <w:rPr>
          <w:rFonts w:asciiTheme="majorHAnsi" w:hAnsiTheme="majorHAnsi" w:cstheme="majorHAnsi"/>
          <w:i/>
          <w:iCs/>
        </w:rPr>
        <w:t>”</w:t>
      </w:r>
    </w:p>
    <w:p w14:paraId="3AA968D3" w14:textId="3DE8F743" w:rsidR="00EA0D71" w:rsidRPr="0078481B" w:rsidRDefault="00CF2083" w:rsidP="00CF2083">
      <w:pPr>
        <w:spacing w:before="120" w:after="240" w:line="360" w:lineRule="auto"/>
        <w:ind w:left="360"/>
        <w:jc w:val="both"/>
        <w:rPr>
          <w:rFonts w:asciiTheme="majorHAnsi" w:hAnsiTheme="majorHAnsi" w:cstheme="majorHAnsi"/>
        </w:rPr>
      </w:pPr>
      <w:r>
        <w:rPr>
          <w:rFonts w:asciiTheme="majorHAnsi" w:hAnsiTheme="majorHAnsi" w:cstheme="majorHAnsi"/>
        </w:rPr>
        <w:t>a</w:t>
      </w:r>
      <w:r w:rsidR="00EA0D71" w:rsidRPr="0078481B">
        <w:rPr>
          <w:rFonts w:asciiTheme="majorHAnsi" w:hAnsiTheme="majorHAnsi" w:cstheme="majorHAnsi"/>
        </w:rPr>
        <w:t xml:space="preserve">nd </w:t>
      </w:r>
      <w:proofErr w:type="gramStart"/>
      <w:r w:rsidR="00EA0D71" w:rsidRPr="0078481B">
        <w:rPr>
          <w:rFonts w:asciiTheme="majorHAnsi" w:hAnsiTheme="majorHAnsi" w:cstheme="majorHAnsi"/>
        </w:rPr>
        <w:t>also</w:t>
      </w:r>
      <w:proofErr w:type="gramEnd"/>
      <w:r w:rsidR="00EA0D71" w:rsidRPr="0078481B">
        <w:rPr>
          <w:rFonts w:asciiTheme="majorHAnsi" w:hAnsiTheme="majorHAnsi" w:cstheme="majorHAnsi"/>
        </w:rPr>
        <w:t xml:space="preserve"> at para</w:t>
      </w:r>
      <w:r w:rsidR="00781822" w:rsidRPr="0078481B">
        <w:rPr>
          <w:rFonts w:asciiTheme="majorHAnsi" w:hAnsiTheme="majorHAnsi" w:cstheme="majorHAnsi"/>
        </w:rPr>
        <w:t xml:space="preserve">.38 of </w:t>
      </w:r>
      <w:r w:rsidR="00EA0D71" w:rsidRPr="0078481B">
        <w:rPr>
          <w:rFonts w:asciiTheme="majorHAnsi" w:hAnsiTheme="majorHAnsi" w:cstheme="majorHAnsi"/>
        </w:rPr>
        <w:t>R(IB)2/04:</w:t>
      </w:r>
    </w:p>
    <w:p w14:paraId="68C12281" w14:textId="48B6D319" w:rsidR="004B4AEC" w:rsidRPr="0078481B" w:rsidRDefault="00EA0D71" w:rsidP="00CF2083">
      <w:pPr>
        <w:spacing w:before="120" w:after="240" w:line="360" w:lineRule="auto"/>
        <w:ind w:left="720"/>
        <w:jc w:val="both"/>
        <w:rPr>
          <w:rFonts w:asciiTheme="majorHAnsi" w:hAnsiTheme="majorHAnsi" w:cstheme="majorHAnsi"/>
          <w:i/>
          <w:iCs/>
        </w:rPr>
      </w:pPr>
      <w:r w:rsidRPr="0078481B">
        <w:rPr>
          <w:rFonts w:asciiTheme="majorHAnsi" w:hAnsiTheme="majorHAnsi" w:cstheme="majorHAnsi"/>
          <w:i/>
          <w:iCs/>
        </w:rPr>
        <w:t>“38.       So far as decisions under section 9 (revision) are concerned, section 12(1) provides a right of appeal, not against the decision under section 9 as such, but only against the original decision as either revised or not revised.</w:t>
      </w:r>
      <w:r w:rsidR="0093313C" w:rsidRPr="0078481B">
        <w:rPr>
          <w:rFonts w:asciiTheme="majorHAnsi" w:hAnsiTheme="majorHAnsi" w:cstheme="majorHAnsi"/>
          <w:i/>
          <w:iCs/>
        </w:rPr>
        <w:t xml:space="preserve"> […]</w:t>
      </w:r>
      <w:r w:rsidRPr="0078481B">
        <w:rPr>
          <w:rFonts w:asciiTheme="majorHAnsi" w:hAnsiTheme="majorHAnsi" w:cstheme="majorHAnsi"/>
          <w:i/>
          <w:iCs/>
        </w:rPr>
        <w:t>”</w:t>
      </w:r>
      <w:r w:rsidR="00E76D1C" w:rsidRPr="0078481B">
        <w:rPr>
          <w:rFonts w:asciiTheme="majorHAnsi" w:hAnsiTheme="majorHAnsi" w:cstheme="majorHAnsi"/>
          <w:i/>
          <w:iCs/>
        </w:rPr>
        <w:t xml:space="preserve"> </w:t>
      </w:r>
    </w:p>
    <w:p w14:paraId="4BA14AC9" w14:textId="5F1CA3B4" w:rsidR="009261A7" w:rsidRPr="0078481B" w:rsidRDefault="00E76D1C" w:rsidP="003925A1">
      <w:pPr>
        <w:numPr>
          <w:ilvl w:val="0"/>
          <w:numId w:val="1"/>
        </w:numPr>
        <w:spacing w:before="120" w:line="360" w:lineRule="auto"/>
        <w:jc w:val="both"/>
        <w:rPr>
          <w:rFonts w:asciiTheme="majorHAnsi" w:hAnsiTheme="majorHAnsi" w:cstheme="majorHAnsi"/>
        </w:rPr>
      </w:pPr>
      <w:r w:rsidRPr="0078481B">
        <w:rPr>
          <w:rFonts w:asciiTheme="majorHAnsi" w:hAnsiTheme="majorHAnsi" w:cstheme="majorHAnsi"/>
        </w:rPr>
        <w:t xml:space="preserve">If the Tribunal was dealing with an appeal against a decision where s.27 </w:t>
      </w:r>
      <w:proofErr w:type="gramStart"/>
      <w:r w:rsidRPr="0078481B">
        <w:rPr>
          <w:rFonts w:asciiTheme="majorHAnsi" w:hAnsiTheme="majorHAnsi" w:cstheme="majorHAnsi"/>
        </w:rPr>
        <w:t>applied</w:t>
      </w:r>
      <w:proofErr w:type="gramEnd"/>
      <w:r w:rsidRPr="0078481B">
        <w:rPr>
          <w:rFonts w:asciiTheme="majorHAnsi" w:hAnsiTheme="majorHAnsi" w:cstheme="majorHAnsi"/>
        </w:rPr>
        <w:t xml:space="preserve"> it too would be caught by s.27 (as </w:t>
      </w:r>
      <w:r w:rsidR="00EE5AD6" w:rsidRPr="0078481B">
        <w:rPr>
          <w:rFonts w:asciiTheme="majorHAnsi" w:hAnsiTheme="majorHAnsi" w:cstheme="majorHAnsi"/>
        </w:rPr>
        <w:t>the Tribunal powers are to make any decision which it was open to the SSWP to make when SSWP made the decision under appeal</w:t>
      </w:r>
      <w:r w:rsidR="00166074" w:rsidRPr="0078481B">
        <w:rPr>
          <w:rFonts w:asciiTheme="majorHAnsi" w:hAnsiTheme="majorHAnsi" w:cstheme="majorHAnsi"/>
        </w:rPr>
        <w:t xml:space="preserve"> and therefore if the SSWP was caught so too is the Tribunal). However, the Tribunal are not dealing with an appeal against </w:t>
      </w:r>
      <w:r w:rsidR="009261A7" w:rsidRPr="0078481B">
        <w:rPr>
          <w:rFonts w:asciiTheme="majorHAnsi" w:hAnsiTheme="majorHAnsi" w:cstheme="majorHAnsi"/>
        </w:rPr>
        <w:t>the refusal to revise but an appeal against the supersession decision.</w:t>
      </w:r>
    </w:p>
    <w:p w14:paraId="6AE90B81" w14:textId="130374B0" w:rsidR="009261A7" w:rsidRPr="0078481B" w:rsidRDefault="009261A7" w:rsidP="003925A1">
      <w:pPr>
        <w:numPr>
          <w:ilvl w:val="0"/>
          <w:numId w:val="1"/>
        </w:numPr>
        <w:spacing w:before="120" w:line="360" w:lineRule="auto"/>
        <w:jc w:val="both"/>
        <w:rPr>
          <w:rFonts w:asciiTheme="majorHAnsi" w:hAnsiTheme="majorHAnsi" w:cstheme="majorHAnsi"/>
        </w:rPr>
      </w:pPr>
      <w:r w:rsidRPr="0078481B">
        <w:rPr>
          <w:rFonts w:asciiTheme="majorHAnsi" w:hAnsiTheme="majorHAnsi" w:cstheme="majorHAnsi"/>
        </w:rPr>
        <w:t xml:space="preserve">Turning to </w:t>
      </w:r>
      <w:r w:rsidR="005949AC" w:rsidRPr="0078481B">
        <w:rPr>
          <w:rFonts w:asciiTheme="majorHAnsi" w:hAnsiTheme="majorHAnsi" w:cstheme="majorHAnsi"/>
        </w:rPr>
        <w:t xml:space="preserve">whether s.27 applied to the supersession decision made on </w:t>
      </w:r>
      <w:r w:rsidR="00456D10" w:rsidRPr="0078481B">
        <w:rPr>
          <w:rFonts w:asciiTheme="majorHAnsi" w:hAnsiTheme="majorHAnsi" w:cstheme="majorHAnsi"/>
        </w:rPr>
        <w:t>[</w:t>
      </w:r>
      <w:r w:rsidR="00CF2083" w:rsidRPr="00CF2083">
        <w:rPr>
          <w:rFonts w:asciiTheme="majorHAnsi" w:hAnsiTheme="majorHAnsi" w:cstheme="majorHAnsi"/>
          <w:color w:val="EE0000"/>
        </w:rPr>
        <w:t>date of supersession decision under appea</w:t>
      </w:r>
      <w:r w:rsidR="003350F2">
        <w:rPr>
          <w:rFonts w:asciiTheme="majorHAnsi" w:hAnsiTheme="majorHAnsi" w:cstheme="majorHAnsi"/>
          <w:color w:val="EE0000"/>
        </w:rPr>
        <w:t>l</w:t>
      </w:r>
      <w:r w:rsidR="00CF2083">
        <w:rPr>
          <w:rFonts w:asciiTheme="majorHAnsi" w:hAnsiTheme="majorHAnsi" w:cstheme="majorHAnsi"/>
          <w:color w:val="EE0000"/>
        </w:rPr>
        <w:t xml:space="preserve"> xx/xx/xx</w:t>
      </w:r>
      <w:r w:rsidR="00456D10" w:rsidRPr="0078481B">
        <w:rPr>
          <w:rFonts w:asciiTheme="majorHAnsi" w:hAnsiTheme="majorHAnsi" w:cstheme="majorHAnsi"/>
        </w:rPr>
        <w:t>]</w:t>
      </w:r>
      <w:r w:rsidR="002D3B48" w:rsidRPr="0078481B">
        <w:rPr>
          <w:rFonts w:asciiTheme="majorHAnsi" w:hAnsiTheme="majorHAnsi" w:cstheme="majorHAnsi"/>
        </w:rPr>
        <w:t xml:space="preserve"> </w:t>
      </w:r>
      <w:r w:rsidR="00503E0C" w:rsidRPr="0078481B">
        <w:rPr>
          <w:rFonts w:asciiTheme="majorHAnsi" w:hAnsiTheme="majorHAnsi" w:cstheme="majorHAnsi"/>
        </w:rPr>
        <w:t>then it did not. That is because</w:t>
      </w:r>
      <w:r w:rsidR="00B40329" w:rsidRPr="0078481B">
        <w:rPr>
          <w:rFonts w:asciiTheme="majorHAnsi" w:hAnsiTheme="majorHAnsi" w:cstheme="majorHAnsi"/>
        </w:rPr>
        <w:t xml:space="preserve"> s</w:t>
      </w:r>
      <w:r w:rsidR="00503E0C" w:rsidRPr="0078481B">
        <w:rPr>
          <w:rFonts w:asciiTheme="majorHAnsi" w:hAnsiTheme="majorHAnsi" w:cstheme="majorHAnsi"/>
        </w:rPr>
        <w:t>.27(1)(</w:t>
      </w:r>
      <w:r w:rsidR="00B40329" w:rsidRPr="0078481B">
        <w:rPr>
          <w:rFonts w:asciiTheme="majorHAnsi" w:hAnsiTheme="majorHAnsi" w:cstheme="majorHAnsi"/>
        </w:rPr>
        <w:t>b</w:t>
      </w:r>
      <w:r w:rsidR="00503E0C" w:rsidRPr="0078481B">
        <w:rPr>
          <w:rFonts w:asciiTheme="majorHAnsi" w:hAnsiTheme="majorHAnsi" w:cstheme="majorHAnsi"/>
        </w:rPr>
        <w:t xml:space="preserve">) does not apply as </w:t>
      </w:r>
      <w:r w:rsidR="00FC30FB" w:rsidRPr="0078481B">
        <w:rPr>
          <w:rFonts w:asciiTheme="majorHAnsi" w:hAnsiTheme="majorHAnsi" w:cstheme="majorHAnsi"/>
        </w:rPr>
        <w:t xml:space="preserve">that decision was made </w:t>
      </w:r>
      <w:r w:rsidR="00FC30FB" w:rsidRPr="0078481B">
        <w:rPr>
          <w:rFonts w:asciiTheme="majorHAnsi" w:hAnsiTheme="majorHAnsi" w:cstheme="majorHAnsi"/>
          <w:i/>
          <w:iCs/>
        </w:rPr>
        <w:t xml:space="preserve">before </w:t>
      </w:r>
      <w:r w:rsidR="00FC30FB" w:rsidRPr="0078481B">
        <w:rPr>
          <w:rFonts w:asciiTheme="majorHAnsi" w:hAnsiTheme="majorHAnsi" w:cstheme="majorHAnsi"/>
        </w:rPr>
        <w:t>the decision on the testcase. It is not a case where “</w:t>
      </w:r>
      <w:r w:rsidR="00FC30FB" w:rsidRPr="00CF2083">
        <w:rPr>
          <w:rFonts w:asciiTheme="majorHAnsi" w:hAnsiTheme="majorHAnsi" w:cstheme="majorHAnsi"/>
          <w:i/>
          <w:iCs/>
        </w:rPr>
        <w:t>after the date of the [MJ</w:t>
      </w:r>
      <w:r w:rsidR="0092331F" w:rsidRPr="00CF2083">
        <w:rPr>
          <w:rFonts w:asciiTheme="majorHAnsi" w:hAnsiTheme="majorHAnsi" w:cstheme="majorHAnsi"/>
          <w:i/>
          <w:iCs/>
        </w:rPr>
        <w:t xml:space="preserve"> decision</w:t>
      </w:r>
      <w:r w:rsidR="00FC30FB" w:rsidRPr="00CF2083">
        <w:rPr>
          <w:rFonts w:asciiTheme="majorHAnsi" w:hAnsiTheme="majorHAnsi" w:cstheme="majorHAnsi"/>
          <w:i/>
          <w:iCs/>
        </w:rPr>
        <w:t>] a decision falls to be made by the Secretary of State in accordance with that determination</w:t>
      </w:r>
      <w:r w:rsidR="00FC30FB" w:rsidRPr="0078481B">
        <w:rPr>
          <w:rFonts w:asciiTheme="majorHAnsi" w:hAnsiTheme="majorHAnsi" w:cstheme="majorHAnsi"/>
          <w:i/>
          <w:iCs/>
        </w:rPr>
        <w:t xml:space="preserve">”. </w:t>
      </w:r>
      <w:r w:rsidR="00FC30FB" w:rsidRPr="0078481B">
        <w:rPr>
          <w:rFonts w:asciiTheme="majorHAnsi" w:hAnsiTheme="majorHAnsi" w:cstheme="majorHAnsi"/>
        </w:rPr>
        <w:t xml:space="preserve">Rather it is a case where </w:t>
      </w:r>
      <w:r w:rsidR="00EC4D9B" w:rsidRPr="0078481B">
        <w:rPr>
          <w:rFonts w:asciiTheme="majorHAnsi" w:hAnsiTheme="majorHAnsi" w:cstheme="majorHAnsi"/>
        </w:rPr>
        <w:t xml:space="preserve">after the date of MJ a decision falls to be made by a Tribunal about a decision made by SSWP before </w:t>
      </w:r>
      <w:r w:rsidR="0055351B" w:rsidRPr="0078481B">
        <w:rPr>
          <w:rFonts w:asciiTheme="majorHAnsi" w:hAnsiTheme="majorHAnsi" w:cstheme="majorHAnsi"/>
        </w:rPr>
        <w:t>MJ.</w:t>
      </w:r>
    </w:p>
    <w:p w14:paraId="1CF7E3FB" w14:textId="4F32D8C1" w:rsidR="000F4BE8" w:rsidRPr="0078481B" w:rsidRDefault="007948BB" w:rsidP="003925A1">
      <w:pPr>
        <w:numPr>
          <w:ilvl w:val="0"/>
          <w:numId w:val="1"/>
        </w:numPr>
        <w:spacing w:before="120" w:line="360" w:lineRule="auto"/>
        <w:jc w:val="both"/>
        <w:rPr>
          <w:rFonts w:asciiTheme="majorHAnsi" w:hAnsiTheme="majorHAnsi" w:cstheme="majorHAnsi"/>
        </w:rPr>
      </w:pPr>
      <w:r w:rsidRPr="0078481B">
        <w:rPr>
          <w:rFonts w:asciiTheme="majorHAnsi" w:hAnsiTheme="majorHAnsi" w:cstheme="majorHAnsi"/>
        </w:rPr>
        <w:t xml:space="preserve">It </w:t>
      </w:r>
      <w:r w:rsidR="00E84588" w:rsidRPr="0078481B">
        <w:rPr>
          <w:rFonts w:asciiTheme="majorHAnsi" w:hAnsiTheme="majorHAnsi" w:cstheme="majorHAnsi"/>
        </w:rPr>
        <w:t>may seem odd</w:t>
      </w:r>
      <w:r w:rsidRPr="0078481B">
        <w:rPr>
          <w:rFonts w:asciiTheme="majorHAnsi" w:hAnsiTheme="majorHAnsi" w:cstheme="majorHAnsi"/>
        </w:rPr>
        <w:t xml:space="preserve"> that </w:t>
      </w:r>
      <w:r w:rsidR="00CE2963" w:rsidRPr="0078481B">
        <w:rPr>
          <w:rFonts w:asciiTheme="majorHAnsi" w:hAnsiTheme="majorHAnsi" w:cstheme="majorHAnsi"/>
        </w:rPr>
        <w:t>[</w:t>
      </w:r>
      <w:r w:rsidR="00CF2083" w:rsidRPr="00CF2083">
        <w:rPr>
          <w:rFonts w:asciiTheme="majorHAnsi" w:hAnsiTheme="majorHAnsi" w:cstheme="majorHAnsi"/>
          <w:color w:val="EE0000"/>
        </w:rPr>
        <w:t>Title. Last Name</w:t>
      </w:r>
      <w:r w:rsidR="00CE2963" w:rsidRPr="0078481B">
        <w:rPr>
          <w:rFonts w:asciiTheme="majorHAnsi" w:hAnsiTheme="majorHAnsi" w:cstheme="majorHAnsi"/>
        </w:rPr>
        <w:t>]</w:t>
      </w:r>
      <w:r w:rsidRPr="0078481B">
        <w:rPr>
          <w:rFonts w:asciiTheme="majorHAnsi" w:hAnsiTheme="majorHAnsi" w:cstheme="majorHAnsi"/>
        </w:rPr>
        <w:t xml:space="preserve"> </w:t>
      </w:r>
      <w:proofErr w:type="gramStart"/>
      <w:r w:rsidRPr="0078481B">
        <w:rPr>
          <w:rFonts w:asciiTheme="majorHAnsi" w:hAnsiTheme="majorHAnsi" w:cstheme="majorHAnsi"/>
        </w:rPr>
        <w:t>is able to</w:t>
      </w:r>
      <w:proofErr w:type="gramEnd"/>
      <w:r w:rsidRPr="0078481B">
        <w:rPr>
          <w:rFonts w:asciiTheme="majorHAnsi" w:hAnsiTheme="majorHAnsi" w:cstheme="majorHAnsi"/>
        </w:rPr>
        <w:t xml:space="preserve"> achieve an outcome on appeal</w:t>
      </w:r>
      <w:r w:rsidR="00D21EA7" w:rsidRPr="0078481B">
        <w:rPr>
          <w:rFonts w:asciiTheme="majorHAnsi" w:hAnsiTheme="majorHAnsi" w:cstheme="majorHAnsi"/>
        </w:rPr>
        <w:t xml:space="preserve"> that</w:t>
      </w:r>
      <w:r w:rsidR="006D6164" w:rsidRPr="0078481B">
        <w:rPr>
          <w:rFonts w:asciiTheme="majorHAnsi" w:hAnsiTheme="majorHAnsi" w:cstheme="majorHAnsi"/>
        </w:rPr>
        <w:t xml:space="preserve"> [</w:t>
      </w:r>
      <w:r w:rsidR="00CF2083" w:rsidRPr="00AC1A9B">
        <w:rPr>
          <w:rFonts w:asciiTheme="majorHAnsi" w:hAnsiTheme="majorHAnsi" w:cstheme="majorHAnsi"/>
          <w:color w:val="EE0000"/>
        </w:rPr>
        <w:t>s/he</w:t>
      </w:r>
      <w:r w:rsidR="00AC1A9B">
        <w:rPr>
          <w:rFonts w:asciiTheme="majorHAnsi" w:hAnsiTheme="majorHAnsi" w:cstheme="majorHAnsi"/>
        </w:rPr>
        <w:t xml:space="preserve">] </w:t>
      </w:r>
      <w:proofErr w:type="gramStart"/>
      <w:r w:rsidR="00AC1A9B">
        <w:rPr>
          <w:rFonts w:asciiTheme="majorHAnsi" w:hAnsiTheme="majorHAnsi" w:cstheme="majorHAnsi"/>
        </w:rPr>
        <w:t>w</w:t>
      </w:r>
      <w:r w:rsidR="00D65102" w:rsidRPr="0078481B">
        <w:rPr>
          <w:rFonts w:asciiTheme="majorHAnsi" w:hAnsiTheme="majorHAnsi" w:cstheme="majorHAnsi"/>
        </w:rPr>
        <w:t>a</w:t>
      </w:r>
      <w:r w:rsidR="00D21EA7" w:rsidRPr="0078481B">
        <w:rPr>
          <w:rFonts w:asciiTheme="majorHAnsi" w:hAnsiTheme="majorHAnsi" w:cstheme="majorHAnsi"/>
        </w:rPr>
        <w:t>s not able to</w:t>
      </w:r>
      <w:proofErr w:type="gramEnd"/>
      <w:r w:rsidR="00D21EA7" w:rsidRPr="0078481B">
        <w:rPr>
          <w:rFonts w:asciiTheme="majorHAnsi" w:hAnsiTheme="majorHAnsi" w:cstheme="majorHAnsi"/>
        </w:rPr>
        <w:t xml:space="preserve"> achieve on revision</w:t>
      </w:r>
      <w:r w:rsidR="0055351B" w:rsidRPr="0078481B">
        <w:rPr>
          <w:rFonts w:asciiTheme="majorHAnsi" w:hAnsiTheme="majorHAnsi" w:cstheme="majorHAnsi"/>
        </w:rPr>
        <w:t xml:space="preserve">. </w:t>
      </w:r>
      <w:r w:rsidR="00D65102" w:rsidRPr="0078481B">
        <w:rPr>
          <w:rFonts w:asciiTheme="majorHAnsi" w:hAnsiTheme="majorHAnsi" w:cstheme="majorHAnsi"/>
        </w:rPr>
        <w:t>However, the Tribunal will note:</w:t>
      </w:r>
    </w:p>
    <w:p w14:paraId="7190DA91" w14:textId="7127126B" w:rsidR="009D3A88" w:rsidRPr="0078481B" w:rsidRDefault="00D65102" w:rsidP="003925A1">
      <w:pPr>
        <w:numPr>
          <w:ilvl w:val="1"/>
          <w:numId w:val="1"/>
        </w:numPr>
        <w:spacing w:before="120" w:line="360" w:lineRule="auto"/>
        <w:jc w:val="both"/>
        <w:rPr>
          <w:rFonts w:asciiTheme="majorHAnsi" w:hAnsiTheme="majorHAnsi" w:cstheme="majorHAnsi"/>
        </w:rPr>
      </w:pPr>
      <w:r w:rsidRPr="0078481B">
        <w:rPr>
          <w:rFonts w:asciiTheme="majorHAnsi" w:hAnsiTheme="majorHAnsi" w:cstheme="majorHAnsi"/>
        </w:rPr>
        <w:t xml:space="preserve">This </w:t>
      </w:r>
      <w:r w:rsidR="0055351B" w:rsidRPr="0078481B">
        <w:rPr>
          <w:rFonts w:asciiTheme="majorHAnsi" w:hAnsiTheme="majorHAnsi" w:cstheme="majorHAnsi"/>
        </w:rPr>
        <w:t>is</w:t>
      </w:r>
      <w:r w:rsidRPr="0078481B">
        <w:rPr>
          <w:rFonts w:asciiTheme="majorHAnsi" w:hAnsiTheme="majorHAnsi" w:cstheme="majorHAnsi"/>
        </w:rPr>
        <w:t xml:space="preserve"> consistent with the aim of s.27 which, according to the authors of </w:t>
      </w:r>
      <w:r w:rsidR="003B4309" w:rsidRPr="0078481B">
        <w:rPr>
          <w:rFonts w:asciiTheme="majorHAnsi" w:hAnsiTheme="majorHAnsi" w:cstheme="majorHAnsi"/>
        </w:rPr>
        <w:t xml:space="preserve">the commentary </w:t>
      </w:r>
      <w:r w:rsidR="004B485B" w:rsidRPr="0078481B">
        <w:rPr>
          <w:rFonts w:asciiTheme="majorHAnsi" w:hAnsiTheme="majorHAnsi" w:cstheme="majorHAnsi"/>
        </w:rPr>
        <w:t>at 1.516</w:t>
      </w:r>
      <w:r w:rsidR="00C75909" w:rsidRPr="0078481B">
        <w:rPr>
          <w:rFonts w:asciiTheme="majorHAnsi" w:hAnsiTheme="majorHAnsi" w:cstheme="majorHAnsi"/>
        </w:rPr>
        <w:t xml:space="preserve"> of Sweet and Maxwell</w:t>
      </w:r>
      <w:r w:rsidR="00343317" w:rsidRPr="0078481B">
        <w:rPr>
          <w:rFonts w:asciiTheme="majorHAnsi" w:hAnsiTheme="majorHAnsi" w:cstheme="majorHAnsi"/>
        </w:rPr>
        <w:t>’s</w:t>
      </w:r>
      <w:r w:rsidR="00C75909" w:rsidRPr="0078481B">
        <w:rPr>
          <w:rFonts w:asciiTheme="majorHAnsi" w:hAnsiTheme="majorHAnsi" w:cstheme="majorHAnsi"/>
        </w:rPr>
        <w:t xml:space="preserve"> </w:t>
      </w:r>
      <w:r w:rsidR="004B485B" w:rsidRPr="0078481B">
        <w:rPr>
          <w:rFonts w:asciiTheme="majorHAnsi" w:hAnsiTheme="majorHAnsi" w:cstheme="majorHAnsi"/>
        </w:rPr>
        <w:t>Social Security Legislation (vol.3)</w:t>
      </w:r>
      <w:r w:rsidR="00F22EEA" w:rsidRPr="0078481B">
        <w:rPr>
          <w:rFonts w:asciiTheme="majorHAnsi" w:hAnsiTheme="majorHAnsi" w:cstheme="majorHAnsi"/>
        </w:rPr>
        <w:t xml:space="preserve"> 2024/25</w:t>
      </w:r>
      <w:r w:rsidR="00F22EEA" w:rsidRPr="0078481B">
        <w:rPr>
          <w:rStyle w:val="FootnoteReference"/>
          <w:rFonts w:asciiTheme="majorHAnsi" w:hAnsiTheme="majorHAnsi" w:cstheme="majorHAnsi"/>
          <w:i/>
          <w:iCs/>
        </w:rPr>
        <w:footnoteReference w:id="5"/>
      </w:r>
      <w:r w:rsidR="00E46CC1" w:rsidRPr="0078481B">
        <w:rPr>
          <w:rFonts w:asciiTheme="majorHAnsi" w:hAnsiTheme="majorHAnsi" w:cstheme="majorHAnsi"/>
        </w:rPr>
        <w:t xml:space="preserve">, was to limit the </w:t>
      </w:r>
      <w:r w:rsidR="00C570CC" w:rsidRPr="0078481B">
        <w:rPr>
          <w:rFonts w:asciiTheme="majorHAnsi" w:hAnsiTheme="majorHAnsi" w:cstheme="majorHAnsi"/>
        </w:rPr>
        <w:t xml:space="preserve">application of the pre-2000 power to revise on the ground of official error (which had, until 2000, </w:t>
      </w:r>
      <w:r w:rsidR="0095697E" w:rsidRPr="0078481B">
        <w:rPr>
          <w:rFonts w:asciiTheme="majorHAnsi" w:hAnsiTheme="majorHAnsi" w:cstheme="majorHAnsi"/>
        </w:rPr>
        <w:t xml:space="preserve">applied at any time, even in cases where the error had been shown to be an error by </w:t>
      </w:r>
      <w:r w:rsidR="009D3A88" w:rsidRPr="0078481B">
        <w:rPr>
          <w:rFonts w:asciiTheme="majorHAnsi" w:hAnsiTheme="majorHAnsi" w:cstheme="majorHAnsi"/>
        </w:rPr>
        <w:t xml:space="preserve">the Upper Tribunal </w:t>
      </w:r>
      <w:r w:rsidR="0095697E" w:rsidRPr="0078481B">
        <w:rPr>
          <w:rFonts w:asciiTheme="majorHAnsi" w:hAnsiTheme="majorHAnsi" w:cstheme="majorHAnsi"/>
        </w:rPr>
        <w:t>or</w:t>
      </w:r>
      <w:r w:rsidR="009D3A88" w:rsidRPr="0078481B">
        <w:rPr>
          <w:rFonts w:asciiTheme="majorHAnsi" w:hAnsiTheme="majorHAnsi" w:cstheme="majorHAnsi"/>
        </w:rPr>
        <w:t xml:space="preserve"> a</w:t>
      </w:r>
      <w:r w:rsidR="0095697E" w:rsidRPr="0078481B">
        <w:rPr>
          <w:rFonts w:asciiTheme="majorHAnsi" w:hAnsiTheme="majorHAnsi" w:cstheme="majorHAnsi"/>
        </w:rPr>
        <w:t xml:space="preserve"> court</w:t>
      </w:r>
      <w:r w:rsidR="00F078AD" w:rsidRPr="0078481B">
        <w:rPr>
          <w:rFonts w:asciiTheme="majorHAnsi" w:hAnsiTheme="majorHAnsi" w:cstheme="majorHAnsi"/>
        </w:rPr>
        <w:t xml:space="preserve"> – the definition of official error was then changed to exclude errors shown to have been </w:t>
      </w:r>
      <w:r w:rsidR="00F26F5D" w:rsidRPr="0078481B">
        <w:rPr>
          <w:rFonts w:asciiTheme="majorHAnsi" w:hAnsiTheme="majorHAnsi" w:cstheme="majorHAnsi"/>
        </w:rPr>
        <w:t xml:space="preserve">an </w:t>
      </w:r>
      <w:r w:rsidR="00F078AD" w:rsidRPr="0078481B">
        <w:rPr>
          <w:rFonts w:asciiTheme="majorHAnsi" w:hAnsiTheme="majorHAnsi" w:cstheme="majorHAnsi"/>
        </w:rPr>
        <w:t xml:space="preserve">error by </w:t>
      </w:r>
      <w:r w:rsidR="00F26F5D" w:rsidRPr="0078481B">
        <w:rPr>
          <w:rFonts w:asciiTheme="majorHAnsi" w:hAnsiTheme="majorHAnsi" w:cstheme="majorHAnsi"/>
        </w:rPr>
        <w:t xml:space="preserve">the Upper Tribunal </w:t>
      </w:r>
      <w:r w:rsidR="00F078AD" w:rsidRPr="0078481B">
        <w:rPr>
          <w:rFonts w:asciiTheme="majorHAnsi" w:hAnsiTheme="majorHAnsi" w:cstheme="majorHAnsi"/>
        </w:rPr>
        <w:t xml:space="preserve">or </w:t>
      </w:r>
      <w:r w:rsidR="00F26F5D" w:rsidRPr="0078481B">
        <w:rPr>
          <w:rFonts w:asciiTheme="majorHAnsi" w:hAnsiTheme="majorHAnsi" w:cstheme="majorHAnsi"/>
        </w:rPr>
        <w:t xml:space="preserve">a </w:t>
      </w:r>
      <w:r w:rsidR="00F078AD" w:rsidRPr="0078481B">
        <w:rPr>
          <w:rFonts w:asciiTheme="majorHAnsi" w:hAnsiTheme="majorHAnsi" w:cstheme="majorHAnsi"/>
        </w:rPr>
        <w:t>court</w:t>
      </w:r>
      <w:r w:rsidR="0095697E" w:rsidRPr="0078481B">
        <w:rPr>
          <w:rFonts w:asciiTheme="majorHAnsi" w:hAnsiTheme="majorHAnsi" w:cstheme="majorHAnsi"/>
        </w:rPr>
        <w:t>)</w:t>
      </w:r>
      <w:r w:rsidR="009D3A88" w:rsidRPr="0078481B">
        <w:rPr>
          <w:rFonts w:asciiTheme="majorHAnsi" w:hAnsiTheme="majorHAnsi" w:cstheme="majorHAnsi"/>
        </w:rPr>
        <w:t xml:space="preserve">; </w:t>
      </w:r>
    </w:p>
    <w:p w14:paraId="52B90297" w14:textId="7F9EACA8" w:rsidR="00D65102" w:rsidRPr="0078481B" w:rsidRDefault="009D3A88" w:rsidP="003925A1">
      <w:pPr>
        <w:numPr>
          <w:ilvl w:val="1"/>
          <w:numId w:val="1"/>
        </w:numPr>
        <w:spacing w:before="120" w:line="360" w:lineRule="auto"/>
        <w:jc w:val="both"/>
        <w:rPr>
          <w:rFonts w:asciiTheme="majorHAnsi" w:hAnsiTheme="majorHAnsi" w:cstheme="majorHAnsi"/>
        </w:rPr>
      </w:pPr>
      <w:r w:rsidRPr="0078481B">
        <w:rPr>
          <w:rFonts w:asciiTheme="majorHAnsi" w:hAnsiTheme="majorHAnsi" w:cstheme="majorHAnsi"/>
        </w:rPr>
        <w:t xml:space="preserve">The SSA is fastidious in identifying </w:t>
      </w:r>
      <w:r w:rsidR="001E5624" w:rsidRPr="0078481B">
        <w:rPr>
          <w:rFonts w:asciiTheme="majorHAnsi" w:hAnsiTheme="majorHAnsi" w:cstheme="majorHAnsi"/>
        </w:rPr>
        <w:t>the circumstances in which a decision falls to be made when setting out the scope of the powers available to the bodies involved</w:t>
      </w:r>
      <w:r w:rsidR="00B447B8" w:rsidRPr="0078481B">
        <w:rPr>
          <w:rFonts w:asciiTheme="majorHAnsi" w:hAnsiTheme="majorHAnsi" w:cstheme="majorHAnsi"/>
        </w:rPr>
        <w:t xml:space="preserve"> –  </w:t>
      </w:r>
      <w:r w:rsidR="004521C3" w:rsidRPr="0078481B">
        <w:rPr>
          <w:rFonts w:asciiTheme="majorHAnsi" w:hAnsiTheme="majorHAnsi" w:cstheme="majorHAnsi"/>
        </w:rPr>
        <w:t xml:space="preserve">for example, </w:t>
      </w:r>
      <w:r w:rsidR="00FD2088" w:rsidRPr="0078481B">
        <w:rPr>
          <w:rFonts w:asciiTheme="majorHAnsi" w:hAnsiTheme="majorHAnsi" w:cstheme="majorHAnsi"/>
        </w:rPr>
        <w:t>s.</w:t>
      </w:r>
      <w:r w:rsidR="005908AC" w:rsidRPr="0078481B">
        <w:rPr>
          <w:rFonts w:asciiTheme="majorHAnsi" w:hAnsiTheme="majorHAnsi" w:cstheme="majorHAnsi"/>
        </w:rPr>
        <w:t xml:space="preserve">9 SSA states that the SSWP may revise any decision </w:t>
      </w:r>
      <w:r w:rsidR="005908AC" w:rsidRPr="0078481B">
        <w:rPr>
          <w:rFonts w:asciiTheme="majorHAnsi" w:hAnsiTheme="majorHAnsi" w:cstheme="majorHAnsi"/>
          <w:i/>
          <w:iCs/>
          <w:u w:val="single"/>
        </w:rPr>
        <w:t>of the SSWP</w:t>
      </w:r>
      <w:r w:rsidR="005908AC" w:rsidRPr="0078481B">
        <w:rPr>
          <w:rFonts w:asciiTheme="majorHAnsi" w:hAnsiTheme="majorHAnsi" w:cstheme="majorHAnsi"/>
        </w:rPr>
        <w:t xml:space="preserve"> under ss.8 or 10</w:t>
      </w:r>
      <w:r w:rsidR="00E177A6" w:rsidRPr="0078481B">
        <w:rPr>
          <w:rFonts w:asciiTheme="majorHAnsi" w:hAnsiTheme="majorHAnsi" w:cstheme="majorHAnsi"/>
        </w:rPr>
        <w:t xml:space="preserve"> (i.e. she may not revise a decision of </w:t>
      </w:r>
      <w:r w:rsidR="0076199B" w:rsidRPr="0078481B">
        <w:rPr>
          <w:rFonts w:asciiTheme="majorHAnsi" w:hAnsiTheme="majorHAnsi" w:cstheme="majorHAnsi"/>
        </w:rPr>
        <w:t>a</w:t>
      </w:r>
      <w:r w:rsidR="001322B3" w:rsidRPr="0078481B">
        <w:rPr>
          <w:rFonts w:asciiTheme="majorHAnsi" w:hAnsiTheme="majorHAnsi" w:cstheme="majorHAnsi"/>
        </w:rPr>
        <w:t xml:space="preserve"> </w:t>
      </w:r>
      <w:r w:rsidR="00072F99" w:rsidRPr="0078481B">
        <w:rPr>
          <w:rFonts w:asciiTheme="majorHAnsi" w:hAnsiTheme="majorHAnsi" w:cstheme="majorHAnsi"/>
        </w:rPr>
        <w:t>F</w:t>
      </w:r>
      <w:r w:rsidR="001322B3" w:rsidRPr="0078481B">
        <w:rPr>
          <w:rFonts w:asciiTheme="majorHAnsi" w:hAnsiTheme="majorHAnsi" w:cstheme="majorHAnsi"/>
        </w:rPr>
        <w:t xml:space="preserve">irst-tier </w:t>
      </w:r>
      <w:r w:rsidR="00072F99" w:rsidRPr="0078481B">
        <w:rPr>
          <w:rFonts w:asciiTheme="majorHAnsi" w:hAnsiTheme="majorHAnsi" w:cstheme="majorHAnsi"/>
        </w:rPr>
        <w:t>T</w:t>
      </w:r>
      <w:r w:rsidR="001322B3" w:rsidRPr="0078481B">
        <w:rPr>
          <w:rFonts w:asciiTheme="majorHAnsi" w:hAnsiTheme="majorHAnsi" w:cstheme="majorHAnsi"/>
        </w:rPr>
        <w:t>ribunal</w:t>
      </w:r>
      <w:r w:rsidR="0076199B" w:rsidRPr="0078481B">
        <w:rPr>
          <w:rFonts w:asciiTheme="majorHAnsi" w:hAnsiTheme="majorHAnsi" w:cstheme="majorHAnsi"/>
        </w:rPr>
        <w:t>)</w:t>
      </w:r>
      <w:r w:rsidR="001A4718" w:rsidRPr="0078481B">
        <w:rPr>
          <w:rFonts w:asciiTheme="majorHAnsi" w:hAnsiTheme="majorHAnsi" w:cstheme="majorHAnsi"/>
        </w:rPr>
        <w:t>, this</w:t>
      </w:r>
      <w:r w:rsidR="002D58D7" w:rsidRPr="0078481B">
        <w:rPr>
          <w:rFonts w:asciiTheme="majorHAnsi" w:hAnsiTheme="majorHAnsi" w:cstheme="majorHAnsi"/>
        </w:rPr>
        <w:t xml:space="preserve"> can be contrasted with s.10 which states that </w:t>
      </w:r>
      <w:r w:rsidR="00727C21" w:rsidRPr="0078481B">
        <w:rPr>
          <w:rFonts w:asciiTheme="majorHAnsi" w:hAnsiTheme="majorHAnsi" w:cstheme="majorHAnsi"/>
        </w:rPr>
        <w:t xml:space="preserve">the SSWP may supersede decisions under ss.8 &amp; 9 </w:t>
      </w:r>
      <w:r w:rsidR="00727C21" w:rsidRPr="0078481B">
        <w:rPr>
          <w:rFonts w:asciiTheme="majorHAnsi" w:hAnsiTheme="majorHAnsi" w:cstheme="majorHAnsi"/>
          <w:i/>
          <w:iCs/>
          <w:u w:val="single"/>
        </w:rPr>
        <w:t>and also</w:t>
      </w:r>
      <w:r w:rsidR="00727C21" w:rsidRPr="0078481B">
        <w:rPr>
          <w:rFonts w:asciiTheme="majorHAnsi" w:hAnsiTheme="majorHAnsi" w:cstheme="majorHAnsi"/>
        </w:rPr>
        <w:t xml:space="preserve"> decisions </w:t>
      </w:r>
      <w:r w:rsidR="00F3657F" w:rsidRPr="0078481B">
        <w:rPr>
          <w:rFonts w:asciiTheme="majorHAnsi" w:hAnsiTheme="majorHAnsi" w:cstheme="majorHAnsi"/>
        </w:rPr>
        <w:t>made by the First-tier Tribunal</w:t>
      </w:r>
      <w:r w:rsidR="0042138F" w:rsidRPr="0078481B">
        <w:rPr>
          <w:rFonts w:asciiTheme="majorHAnsi" w:hAnsiTheme="majorHAnsi" w:cstheme="majorHAnsi"/>
        </w:rPr>
        <w:t>.</w:t>
      </w:r>
      <w:r w:rsidR="00850F5D" w:rsidRPr="0078481B">
        <w:rPr>
          <w:rFonts w:asciiTheme="majorHAnsi" w:hAnsiTheme="majorHAnsi" w:cstheme="majorHAnsi"/>
        </w:rPr>
        <w:t xml:space="preserve">  </w:t>
      </w:r>
      <w:r w:rsidR="00EC1837" w:rsidRPr="0078481B">
        <w:rPr>
          <w:rFonts w:asciiTheme="majorHAnsi" w:hAnsiTheme="majorHAnsi" w:cstheme="majorHAnsi"/>
        </w:rPr>
        <w:t xml:space="preserve">Had Parliament intended s.27 to apply to decisions which fall to be made by </w:t>
      </w:r>
      <w:r w:rsidR="00934DFD" w:rsidRPr="0078481B">
        <w:rPr>
          <w:rFonts w:asciiTheme="majorHAnsi" w:hAnsiTheme="majorHAnsi" w:cstheme="majorHAnsi"/>
        </w:rPr>
        <w:t>tribunals then it would have specified this in the SSA.</w:t>
      </w:r>
    </w:p>
    <w:p w14:paraId="7E865F1B" w14:textId="0F163343" w:rsidR="00A45252" w:rsidRPr="0078481B" w:rsidRDefault="00A45252" w:rsidP="003925A1">
      <w:pPr>
        <w:numPr>
          <w:ilvl w:val="0"/>
          <w:numId w:val="1"/>
        </w:numPr>
        <w:spacing w:before="120" w:line="360" w:lineRule="auto"/>
        <w:jc w:val="both"/>
        <w:rPr>
          <w:rFonts w:asciiTheme="majorHAnsi" w:hAnsiTheme="majorHAnsi" w:cstheme="majorHAnsi"/>
        </w:rPr>
      </w:pPr>
      <w:r w:rsidRPr="0078481B">
        <w:rPr>
          <w:rFonts w:asciiTheme="majorHAnsi" w:hAnsiTheme="majorHAnsi" w:cstheme="majorHAnsi"/>
        </w:rPr>
        <w:t xml:space="preserve">Prior to the 2013 introduction of the “mandatory reconsideration requirement” then </w:t>
      </w:r>
      <w:r w:rsidR="00CE2963" w:rsidRPr="0078481B">
        <w:rPr>
          <w:rFonts w:asciiTheme="majorHAnsi" w:hAnsiTheme="majorHAnsi" w:cstheme="majorHAnsi"/>
        </w:rPr>
        <w:t>[</w:t>
      </w:r>
      <w:r w:rsidR="00AC1A9B" w:rsidRPr="00AC1A9B">
        <w:rPr>
          <w:rFonts w:asciiTheme="majorHAnsi" w:hAnsiTheme="majorHAnsi" w:cstheme="majorHAnsi"/>
          <w:color w:val="EE0000"/>
        </w:rPr>
        <w:t>Title. Last Name</w:t>
      </w:r>
      <w:r w:rsidR="00CE2963" w:rsidRPr="0078481B">
        <w:rPr>
          <w:rFonts w:asciiTheme="majorHAnsi" w:hAnsiTheme="majorHAnsi" w:cstheme="majorHAnsi"/>
        </w:rPr>
        <w:t>]</w:t>
      </w:r>
      <w:r w:rsidRPr="0078481B">
        <w:rPr>
          <w:rFonts w:asciiTheme="majorHAnsi" w:hAnsiTheme="majorHAnsi" w:cstheme="majorHAnsi"/>
        </w:rPr>
        <w:t xml:space="preserve"> would simply have </w:t>
      </w:r>
      <w:r w:rsidR="00914FDE" w:rsidRPr="0078481B">
        <w:rPr>
          <w:rFonts w:asciiTheme="majorHAnsi" w:hAnsiTheme="majorHAnsi" w:cstheme="majorHAnsi"/>
        </w:rPr>
        <w:t xml:space="preserve">filed a (late) appeal against the supersession decision. That would perhaps have made it easier to see that s.27 does not bite. Now that </w:t>
      </w:r>
      <w:r w:rsidR="00003966" w:rsidRPr="0078481B">
        <w:rPr>
          <w:rFonts w:asciiTheme="majorHAnsi" w:hAnsiTheme="majorHAnsi" w:cstheme="majorHAnsi"/>
        </w:rPr>
        <w:t>revision must be sought before that right of appeal arises the matter appears at first glance confusing. However, that confusion disappears as soon as one grasps that the mandatory reconsideration requirement does not mean that the appeal which follows is then against the refusal to revise (where s.27 applied) but rather against the original supersession decision</w:t>
      </w:r>
      <w:r w:rsidR="005337B3" w:rsidRPr="0078481B">
        <w:rPr>
          <w:rFonts w:asciiTheme="majorHAnsi" w:hAnsiTheme="majorHAnsi" w:cstheme="majorHAnsi"/>
        </w:rPr>
        <w:t>- mandatory reconsideration is a gateway to appeal rather than something which, where it is refused, becomes the subject of the appeal.</w:t>
      </w:r>
    </w:p>
    <w:p w14:paraId="22423CC1" w14:textId="1B9D5715" w:rsidR="009F42C5" w:rsidRPr="0078481B" w:rsidRDefault="009F42C5" w:rsidP="003925A1">
      <w:pPr>
        <w:numPr>
          <w:ilvl w:val="0"/>
          <w:numId w:val="1"/>
        </w:numPr>
        <w:spacing w:before="120" w:line="360" w:lineRule="auto"/>
        <w:jc w:val="both"/>
        <w:rPr>
          <w:rFonts w:asciiTheme="majorHAnsi" w:hAnsiTheme="majorHAnsi" w:cstheme="majorHAnsi"/>
        </w:rPr>
      </w:pPr>
      <w:r w:rsidRPr="0078481B">
        <w:rPr>
          <w:rFonts w:asciiTheme="majorHAnsi" w:hAnsiTheme="majorHAnsi" w:cstheme="majorHAnsi"/>
        </w:rPr>
        <w:t xml:space="preserve">The anti-test case rule does not apply when a decision falls to be made by the First-tier Tribunal.  The Tribunal is not required to act in accordance with s.27(3) SSA.  The Tribunal is, however, required to decide </w:t>
      </w:r>
      <w:r w:rsidR="00CE2963" w:rsidRPr="0078481B">
        <w:rPr>
          <w:rFonts w:asciiTheme="majorHAnsi" w:hAnsiTheme="majorHAnsi" w:cstheme="majorHAnsi"/>
        </w:rPr>
        <w:t>[</w:t>
      </w:r>
      <w:r w:rsidR="00AC1A9B" w:rsidRPr="00AC1A9B">
        <w:rPr>
          <w:rFonts w:asciiTheme="majorHAnsi" w:hAnsiTheme="majorHAnsi" w:cstheme="majorHAnsi"/>
          <w:color w:val="EE0000"/>
        </w:rPr>
        <w:t>Title. Last Name</w:t>
      </w:r>
      <w:r w:rsidR="00CE2963" w:rsidRPr="0078481B">
        <w:rPr>
          <w:rFonts w:asciiTheme="majorHAnsi" w:hAnsiTheme="majorHAnsi" w:cstheme="majorHAnsi"/>
        </w:rPr>
        <w:t>]</w:t>
      </w:r>
      <w:r w:rsidRPr="0078481B">
        <w:rPr>
          <w:rFonts w:asciiTheme="majorHAnsi" w:hAnsiTheme="majorHAnsi" w:cstheme="majorHAnsi"/>
        </w:rPr>
        <w:t xml:space="preserve">’s appeal in accordance with </w:t>
      </w:r>
      <w:r w:rsidR="008902BB" w:rsidRPr="0078481B">
        <w:rPr>
          <w:rFonts w:asciiTheme="majorHAnsi" w:hAnsiTheme="majorHAnsi" w:cstheme="majorHAnsi"/>
        </w:rPr>
        <w:t xml:space="preserve">the case of </w:t>
      </w:r>
      <w:r w:rsidR="008902BB" w:rsidRPr="0078481B">
        <w:rPr>
          <w:rFonts w:asciiTheme="majorHAnsi" w:hAnsiTheme="majorHAnsi" w:cstheme="majorHAnsi"/>
          <w:i/>
          <w:iCs/>
        </w:rPr>
        <w:t>MJ</w:t>
      </w:r>
      <w:r w:rsidR="008902BB" w:rsidRPr="0078481B">
        <w:rPr>
          <w:rFonts w:asciiTheme="majorHAnsi" w:hAnsiTheme="majorHAnsi" w:cstheme="majorHAnsi"/>
        </w:rPr>
        <w:t>.</w:t>
      </w:r>
    </w:p>
    <w:p w14:paraId="049F31CB" w14:textId="77777777" w:rsidR="007E5E70" w:rsidRPr="0078481B" w:rsidRDefault="007E5E70" w:rsidP="003925A1">
      <w:pPr>
        <w:spacing w:before="120" w:line="360" w:lineRule="auto"/>
        <w:jc w:val="both"/>
        <w:rPr>
          <w:rFonts w:asciiTheme="majorHAnsi" w:hAnsiTheme="majorHAnsi" w:cstheme="majorHAnsi"/>
        </w:rPr>
      </w:pPr>
    </w:p>
    <w:p w14:paraId="2B2A7A39" w14:textId="77777777" w:rsidR="007E5E70" w:rsidRPr="0078481B" w:rsidRDefault="006B09A6" w:rsidP="003925A1">
      <w:pPr>
        <w:spacing w:before="120" w:line="360" w:lineRule="auto"/>
        <w:jc w:val="both"/>
        <w:rPr>
          <w:rFonts w:asciiTheme="majorHAnsi" w:hAnsiTheme="majorHAnsi" w:cstheme="majorHAnsi"/>
          <w:b/>
          <w:bCs/>
          <w:u w:val="single"/>
        </w:rPr>
      </w:pPr>
      <w:r w:rsidRPr="0078481B">
        <w:rPr>
          <w:rFonts w:asciiTheme="majorHAnsi" w:hAnsiTheme="majorHAnsi" w:cstheme="majorHAnsi"/>
          <w:b/>
          <w:bCs/>
          <w:u w:val="single"/>
        </w:rPr>
        <w:t>Conclusion</w:t>
      </w:r>
    </w:p>
    <w:p w14:paraId="53EF8BFF" w14:textId="6E809D51" w:rsidR="001C33A8" w:rsidRPr="0078481B" w:rsidRDefault="001C33A8" w:rsidP="00E77A14">
      <w:pPr>
        <w:numPr>
          <w:ilvl w:val="0"/>
          <w:numId w:val="1"/>
        </w:numPr>
        <w:spacing w:before="120" w:after="240" w:line="360" w:lineRule="auto"/>
        <w:jc w:val="both"/>
        <w:rPr>
          <w:rFonts w:asciiTheme="majorHAnsi" w:hAnsiTheme="majorHAnsi" w:cstheme="majorHAnsi"/>
        </w:rPr>
      </w:pPr>
      <w:r w:rsidRPr="0078481B">
        <w:rPr>
          <w:rFonts w:asciiTheme="majorHAnsi" w:hAnsiTheme="majorHAnsi" w:cstheme="majorHAnsi"/>
        </w:rPr>
        <w:t>.</w:t>
      </w:r>
      <w:r w:rsidR="00237CF3" w:rsidRPr="0078481B">
        <w:rPr>
          <w:rFonts w:asciiTheme="majorHAnsi" w:hAnsiTheme="majorHAnsi" w:cstheme="majorHAnsi"/>
        </w:rPr>
        <w:t xml:space="preserve">The Tribunal must </w:t>
      </w:r>
      <w:r w:rsidR="00415ADD" w:rsidRPr="0078481B">
        <w:rPr>
          <w:rFonts w:asciiTheme="majorHAnsi" w:hAnsiTheme="majorHAnsi" w:cstheme="majorHAnsi"/>
        </w:rPr>
        <w:t xml:space="preserve">apply </w:t>
      </w:r>
      <w:r w:rsidR="00415ADD" w:rsidRPr="0078481B">
        <w:rPr>
          <w:rFonts w:asciiTheme="majorHAnsi" w:hAnsiTheme="majorHAnsi" w:cstheme="majorHAnsi"/>
          <w:i/>
          <w:iCs/>
        </w:rPr>
        <w:t>SSWP v MJ</w:t>
      </w:r>
      <w:r w:rsidR="00415ADD" w:rsidRPr="0078481B">
        <w:rPr>
          <w:rFonts w:asciiTheme="majorHAnsi" w:hAnsiTheme="majorHAnsi" w:cstheme="majorHAnsi"/>
        </w:rPr>
        <w:t xml:space="preserve"> </w:t>
      </w:r>
      <w:r w:rsidR="009F3C05" w:rsidRPr="0078481B">
        <w:rPr>
          <w:rFonts w:asciiTheme="majorHAnsi" w:hAnsiTheme="majorHAnsi" w:cstheme="majorHAnsi"/>
        </w:rPr>
        <w:t>[</w:t>
      </w:r>
      <w:r w:rsidR="00415ADD" w:rsidRPr="0078481B">
        <w:rPr>
          <w:rFonts w:asciiTheme="majorHAnsi" w:hAnsiTheme="majorHAnsi" w:cstheme="majorHAnsi"/>
        </w:rPr>
        <w:t xml:space="preserve">2025] UKUT 35 (AAC) and uphold </w:t>
      </w:r>
      <w:r w:rsidR="00CE2963" w:rsidRPr="0078481B">
        <w:rPr>
          <w:rFonts w:asciiTheme="majorHAnsi" w:hAnsiTheme="majorHAnsi" w:cstheme="majorHAnsi"/>
        </w:rPr>
        <w:t>[</w:t>
      </w:r>
      <w:r w:rsidR="00AC1A9B" w:rsidRPr="00AC1A9B">
        <w:rPr>
          <w:rFonts w:asciiTheme="majorHAnsi" w:hAnsiTheme="majorHAnsi" w:cstheme="majorHAnsi"/>
          <w:color w:val="EE0000"/>
        </w:rPr>
        <w:t>Title. Last Name</w:t>
      </w:r>
      <w:r w:rsidR="00CE2963" w:rsidRPr="0078481B">
        <w:rPr>
          <w:rFonts w:asciiTheme="majorHAnsi" w:hAnsiTheme="majorHAnsi" w:cstheme="majorHAnsi"/>
        </w:rPr>
        <w:t>]</w:t>
      </w:r>
      <w:r w:rsidR="00415ADD" w:rsidRPr="0078481B">
        <w:rPr>
          <w:rFonts w:asciiTheme="majorHAnsi" w:hAnsiTheme="majorHAnsi" w:cstheme="majorHAnsi"/>
        </w:rPr>
        <w:t>’s appeal</w:t>
      </w:r>
      <w:r w:rsidR="00C96157" w:rsidRPr="0078481B">
        <w:rPr>
          <w:rFonts w:asciiTheme="majorHAnsi" w:hAnsiTheme="majorHAnsi" w:cstheme="majorHAnsi"/>
        </w:rPr>
        <w:t xml:space="preserve">, so that </w:t>
      </w:r>
      <w:r w:rsidR="00CE2963" w:rsidRPr="0078481B">
        <w:rPr>
          <w:rFonts w:asciiTheme="majorHAnsi" w:hAnsiTheme="majorHAnsi" w:cstheme="majorHAnsi"/>
        </w:rPr>
        <w:t>[</w:t>
      </w:r>
      <w:r w:rsidR="00AC1A9B" w:rsidRPr="00AC1A9B">
        <w:rPr>
          <w:rFonts w:asciiTheme="majorHAnsi" w:hAnsiTheme="majorHAnsi" w:cstheme="majorHAnsi"/>
          <w:color w:val="EE0000"/>
        </w:rPr>
        <w:t>Title. Last Name</w:t>
      </w:r>
      <w:r w:rsidR="00CE2963" w:rsidRPr="0078481B">
        <w:rPr>
          <w:rFonts w:asciiTheme="majorHAnsi" w:hAnsiTheme="majorHAnsi" w:cstheme="majorHAnsi"/>
        </w:rPr>
        <w:t>]</w:t>
      </w:r>
      <w:r w:rsidR="00C96157" w:rsidRPr="0078481B">
        <w:rPr>
          <w:rFonts w:asciiTheme="majorHAnsi" w:hAnsiTheme="majorHAnsi" w:cstheme="majorHAnsi"/>
        </w:rPr>
        <w:t>’s transitional element erodes only by</w:t>
      </w:r>
      <w:r w:rsidR="008123EE" w:rsidRPr="0078481B">
        <w:rPr>
          <w:rFonts w:asciiTheme="majorHAnsi" w:hAnsiTheme="majorHAnsi" w:cstheme="majorHAnsi"/>
        </w:rPr>
        <w:t xml:space="preserve"> an amount equivalent to</w:t>
      </w:r>
      <w:r w:rsidR="00C96157" w:rsidRPr="0078481B">
        <w:rPr>
          <w:rFonts w:asciiTheme="majorHAnsi" w:hAnsiTheme="majorHAnsi" w:cstheme="majorHAnsi"/>
        </w:rPr>
        <w:t xml:space="preserve"> the difference between the carer and LCWRA elements</w:t>
      </w:r>
      <w:r w:rsidR="00415ADD" w:rsidRPr="0078481B">
        <w:rPr>
          <w:rFonts w:asciiTheme="majorHAnsi" w:hAnsiTheme="majorHAnsi" w:cstheme="majorHAnsi"/>
        </w:rPr>
        <w:t>.</w:t>
      </w:r>
    </w:p>
    <w:p w14:paraId="53128261" w14:textId="77777777" w:rsidR="007E5E70" w:rsidRPr="0078481B" w:rsidRDefault="007E5E70" w:rsidP="00AB0745">
      <w:pPr>
        <w:spacing w:before="120" w:line="360" w:lineRule="auto"/>
        <w:rPr>
          <w:rFonts w:asciiTheme="majorHAnsi" w:hAnsiTheme="majorHAnsi" w:cstheme="majorHAnsi"/>
        </w:rPr>
      </w:pPr>
    </w:p>
    <w:p w14:paraId="6FD24791" w14:textId="6F8AC1D6" w:rsidR="00CD1EE5" w:rsidRPr="0078481B" w:rsidRDefault="00CF7BA3" w:rsidP="00CD1EE5">
      <w:pPr>
        <w:spacing w:before="120" w:line="360" w:lineRule="auto"/>
        <w:jc w:val="right"/>
        <w:rPr>
          <w:rFonts w:asciiTheme="majorHAnsi" w:hAnsiTheme="majorHAnsi" w:cstheme="majorHAnsi"/>
        </w:rPr>
      </w:pPr>
      <w:r w:rsidRPr="0078481B">
        <w:rPr>
          <w:rFonts w:asciiTheme="majorHAnsi" w:hAnsiTheme="majorHAnsi" w:cstheme="majorHAnsi"/>
        </w:rPr>
        <w:t>[</w:t>
      </w:r>
      <w:r w:rsidR="00AC1A9B" w:rsidRPr="00AC1A9B">
        <w:rPr>
          <w:rFonts w:asciiTheme="majorHAnsi" w:hAnsiTheme="majorHAnsi" w:cstheme="majorHAnsi"/>
          <w:color w:val="EE0000"/>
        </w:rPr>
        <w:t xml:space="preserve">Representative’s Name </w:t>
      </w:r>
      <w:r w:rsidR="00AC1A9B">
        <w:rPr>
          <w:rFonts w:asciiTheme="majorHAnsi" w:hAnsiTheme="majorHAnsi" w:cstheme="majorHAnsi"/>
          <w:color w:val="EE0000"/>
        </w:rPr>
        <w:t>a</w:t>
      </w:r>
      <w:r w:rsidR="00AC1A9B" w:rsidRPr="00AC1A9B">
        <w:rPr>
          <w:rFonts w:asciiTheme="majorHAnsi" w:hAnsiTheme="majorHAnsi" w:cstheme="majorHAnsi"/>
          <w:color w:val="EE0000"/>
        </w:rPr>
        <w:t>nd Organisation</w:t>
      </w:r>
      <w:r w:rsidRPr="0078481B">
        <w:rPr>
          <w:rFonts w:asciiTheme="majorHAnsi" w:hAnsiTheme="majorHAnsi" w:cstheme="majorHAnsi"/>
        </w:rPr>
        <w:t>]</w:t>
      </w:r>
    </w:p>
    <w:p w14:paraId="4101652C" w14:textId="2C11ACE3" w:rsidR="007E5E70" w:rsidRPr="0078481B" w:rsidRDefault="00CF7BA3" w:rsidP="00346A99">
      <w:pPr>
        <w:spacing w:before="120" w:line="360" w:lineRule="auto"/>
        <w:jc w:val="right"/>
        <w:rPr>
          <w:rFonts w:asciiTheme="majorHAnsi" w:hAnsiTheme="majorHAnsi" w:cstheme="majorHAnsi"/>
        </w:rPr>
      </w:pPr>
      <w:r w:rsidRPr="0078481B">
        <w:rPr>
          <w:rFonts w:asciiTheme="majorHAnsi" w:hAnsiTheme="majorHAnsi" w:cstheme="majorHAnsi"/>
        </w:rPr>
        <w:t>[</w:t>
      </w:r>
      <w:r w:rsidRPr="00AC1A9B">
        <w:rPr>
          <w:rFonts w:asciiTheme="majorHAnsi" w:hAnsiTheme="majorHAnsi" w:cstheme="majorHAnsi"/>
          <w:color w:val="EE0000"/>
        </w:rPr>
        <w:t>DATE</w:t>
      </w:r>
      <w:r w:rsidR="00346A99" w:rsidRPr="0078481B">
        <w:rPr>
          <w:rFonts w:asciiTheme="majorHAnsi" w:hAnsiTheme="majorHAnsi" w:cstheme="majorHAnsi"/>
        </w:rPr>
        <w:t>]</w:t>
      </w:r>
    </w:p>
    <w:sectPr w:rsidR="007E5E70" w:rsidRPr="0078481B">
      <w:headerReference w:type="even" r:id="rId16"/>
      <w:headerReference w:type="default" r:id="rId17"/>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18F46" w14:textId="77777777" w:rsidR="007A74A0" w:rsidRDefault="007A74A0">
      <w:r>
        <w:separator/>
      </w:r>
    </w:p>
  </w:endnote>
  <w:endnote w:type="continuationSeparator" w:id="0">
    <w:p w14:paraId="6DD4F4F4" w14:textId="77777777" w:rsidR="007A74A0" w:rsidRDefault="007A7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EE3D1" w14:textId="77777777" w:rsidR="00DE1A18" w:rsidRPr="00FB1CBA" w:rsidRDefault="00DE1A18">
    <w:pPr>
      <w:rPr>
        <w:sz w:val="20"/>
        <w:szCs w:val="20"/>
      </w:rPr>
    </w:pPr>
    <w:r>
      <w:t>_____________________________________________________________________</w:t>
    </w:r>
  </w:p>
  <w:tbl>
    <w:tblPr>
      <w:tblW w:w="0" w:type="auto"/>
      <w:tblLook w:val="01E0" w:firstRow="1" w:lastRow="1" w:firstColumn="1" w:lastColumn="1" w:noHBand="0" w:noVBand="0"/>
    </w:tblPr>
    <w:tblGrid>
      <w:gridCol w:w="3474"/>
      <w:gridCol w:w="3654"/>
      <w:gridCol w:w="1178"/>
    </w:tblGrid>
    <w:tr w:rsidR="00DE1A18" w:rsidRPr="00FB1CBA" w14:paraId="45A2F734" w14:textId="77777777" w:rsidTr="002209F7">
      <w:tc>
        <w:tcPr>
          <w:tcW w:w="3474" w:type="dxa"/>
        </w:tcPr>
        <w:p w14:paraId="085A1FE5" w14:textId="3F16C80F" w:rsidR="00DE1A18" w:rsidRPr="002209F7" w:rsidRDefault="008A6466" w:rsidP="005C7E39">
          <w:pPr>
            <w:pStyle w:val="Header"/>
            <w:tabs>
              <w:tab w:val="clear" w:pos="4153"/>
              <w:tab w:val="clear" w:pos="8306"/>
            </w:tabs>
            <w:ind w:right="360"/>
            <w:rPr>
              <w:sz w:val="20"/>
              <w:szCs w:val="20"/>
            </w:rPr>
          </w:pPr>
          <w:r>
            <w:rPr>
              <w:sz w:val="20"/>
              <w:szCs w:val="20"/>
            </w:rPr>
            <w:t>[</w:t>
          </w:r>
          <w:r w:rsidRPr="00C67F01">
            <w:rPr>
              <w:color w:val="EE0000"/>
              <w:sz w:val="20"/>
              <w:szCs w:val="20"/>
            </w:rPr>
            <w:t>NAME</w:t>
          </w:r>
          <w:r>
            <w:rPr>
              <w:sz w:val="20"/>
              <w:szCs w:val="20"/>
            </w:rPr>
            <w:t>]</w:t>
          </w:r>
        </w:p>
      </w:tc>
      <w:tc>
        <w:tcPr>
          <w:tcW w:w="3654" w:type="dxa"/>
        </w:tcPr>
        <w:p w14:paraId="4B99056E" w14:textId="77777777" w:rsidR="00DE1A18" w:rsidRPr="002209F7" w:rsidRDefault="00DE1A18" w:rsidP="002209F7">
          <w:pPr>
            <w:pStyle w:val="Header"/>
            <w:tabs>
              <w:tab w:val="clear" w:pos="4153"/>
              <w:tab w:val="clear" w:pos="8306"/>
            </w:tabs>
            <w:ind w:right="360"/>
            <w:rPr>
              <w:sz w:val="20"/>
              <w:szCs w:val="20"/>
            </w:rPr>
          </w:pPr>
        </w:p>
      </w:tc>
      <w:tc>
        <w:tcPr>
          <w:tcW w:w="1178" w:type="dxa"/>
        </w:tcPr>
        <w:p w14:paraId="34AC69F8" w14:textId="77777777" w:rsidR="00DE1A18" w:rsidRPr="002209F7" w:rsidRDefault="00DE1A18" w:rsidP="002209F7">
          <w:pPr>
            <w:pStyle w:val="Header"/>
            <w:tabs>
              <w:tab w:val="clear" w:pos="4153"/>
              <w:tab w:val="clear" w:pos="8306"/>
            </w:tabs>
            <w:ind w:right="360"/>
            <w:rPr>
              <w:sz w:val="20"/>
              <w:szCs w:val="20"/>
            </w:rPr>
          </w:pPr>
          <w:r w:rsidRPr="002209F7">
            <w:rPr>
              <w:sz w:val="20"/>
              <w:szCs w:val="20"/>
            </w:rPr>
            <w:t xml:space="preserve">Page: </w:t>
          </w:r>
          <w:r w:rsidRPr="002209F7">
            <w:rPr>
              <w:rStyle w:val="PageNumber"/>
              <w:sz w:val="20"/>
              <w:szCs w:val="20"/>
            </w:rPr>
            <w:fldChar w:fldCharType="begin"/>
          </w:r>
          <w:r w:rsidRPr="002209F7">
            <w:rPr>
              <w:rStyle w:val="PageNumber"/>
              <w:sz w:val="20"/>
              <w:szCs w:val="20"/>
            </w:rPr>
            <w:instrText xml:space="preserve">PAGE  </w:instrText>
          </w:r>
          <w:r w:rsidRPr="002209F7">
            <w:rPr>
              <w:rStyle w:val="PageNumber"/>
              <w:sz w:val="20"/>
              <w:szCs w:val="20"/>
            </w:rPr>
            <w:fldChar w:fldCharType="separate"/>
          </w:r>
          <w:r w:rsidR="0010128D">
            <w:rPr>
              <w:rStyle w:val="PageNumber"/>
              <w:noProof/>
              <w:sz w:val="20"/>
              <w:szCs w:val="20"/>
            </w:rPr>
            <w:t>6</w:t>
          </w:r>
          <w:r w:rsidRPr="002209F7">
            <w:rPr>
              <w:rStyle w:val="PageNumber"/>
              <w:sz w:val="20"/>
              <w:szCs w:val="20"/>
            </w:rPr>
            <w:fldChar w:fldCharType="end"/>
          </w:r>
        </w:p>
      </w:tc>
    </w:tr>
  </w:tbl>
  <w:p w14:paraId="1299C43A" w14:textId="77777777" w:rsidR="00DE1A18" w:rsidRPr="00FB1CBA" w:rsidRDefault="00DE1A18" w:rsidP="00FB1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3EA28" w14:textId="77777777" w:rsidR="007A74A0" w:rsidRDefault="007A74A0">
      <w:r>
        <w:separator/>
      </w:r>
    </w:p>
  </w:footnote>
  <w:footnote w:type="continuationSeparator" w:id="0">
    <w:p w14:paraId="24D62950" w14:textId="77777777" w:rsidR="007A74A0" w:rsidRDefault="007A74A0">
      <w:r>
        <w:continuationSeparator/>
      </w:r>
    </w:p>
  </w:footnote>
  <w:footnote w:id="1">
    <w:p w14:paraId="302BE183" w14:textId="664902F8" w:rsidR="00621822" w:rsidRPr="00441ACE" w:rsidRDefault="00621822">
      <w:pPr>
        <w:pStyle w:val="FootnoteText"/>
        <w:rPr>
          <w:rFonts w:asciiTheme="minorHAnsi" w:hAnsiTheme="minorHAnsi" w:cstheme="minorHAnsi"/>
        </w:rPr>
      </w:pPr>
      <w:r w:rsidRPr="00441ACE">
        <w:rPr>
          <w:rStyle w:val="FootnoteReference"/>
          <w:rFonts w:asciiTheme="minorHAnsi" w:hAnsiTheme="minorHAnsi" w:cstheme="minorHAnsi"/>
        </w:rPr>
        <w:footnoteRef/>
      </w:r>
      <w:r w:rsidRPr="00441ACE">
        <w:rPr>
          <w:rFonts w:asciiTheme="minorHAnsi" w:hAnsiTheme="minorHAnsi" w:cstheme="minorHAnsi"/>
        </w:rPr>
        <w:t xml:space="preserve"> note: UTJ West refers to the Universal Credit Regulations 2013 at ‘</w:t>
      </w:r>
      <w:r w:rsidRPr="00441ACE">
        <w:rPr>
          <w:rFonts w:asciiTheme="minorHAnsi" w:hAnsiTheme="minorHAnsi" w:cstheme="minorHAnsi"/>
          <w:b/>
          <w:bCs/>
        </w:rPr>
        <w:t>the 2013 Regulations’</w:t>
      </w:r>
      <w:r w:rsidRPr="00441ACE">
        <w:rPr>
          <w:rFonts w:asciiTheme="minorHAnsi" w:hAnsiTheme="minorHAnsi" w:cstheme="minorHAnsi"/>
        </w:rPr>
        <w:t xml:space="preserve"> and refers to the Universal Credit (Transitional Provisions) Regulations 2014 as ‘</w:t>
      </w:r>
      <w:r w:rsidRPr="00441ACE">
        <w:rPr>
          <w:rFonts w:asciiTheme="minorHAnsi" w:hAnsiTheme="minorHAnsi" w:cstheme="minorHAnsi"/>
          <w:b/>
          <w:bCs/>
        </w:rPr>
        <w:t>the 2014 Regulations’</w:t>
      </w:r>
      <w:r w:rsidRPr="00441ACE">
        <w:rPr>
          <w:rFonts w:asciiTheme="minorHAnsi" w:hAnsiTheme="minorHAnsi" w:cstheme="minorHAnsi"/>
        </w:rPr>
        <w:t xml:space="preserve"> – both abbreviations are adopted for the purposes of these submissions</w:t>
      </w:r>
    </w:p>
  </w:footnote>
  <w:footnote w:id="2">
    <w:p w14:paraId="229562FA" w14:textId="7C847E21" w:rsidR="00AB5B67" w:rsidRDefault="00AB5B67">
      <w:pPr>
        <w:pStyle w:val="FootnoteText"/>
      </w:pPr>
      <w:r w:rsidRPr="00441ACE">
        <w:rPr>
          <w:rStyle w:val="FootnoteReference"/>
          <w:rFonts w:asciiTheme="minorHAnsi" w:hAnsiTheme="minorHAnsi" w:cstheme="minorHAnsi"/>
        </w:rPr>
        <w:footnoteRef/>
      </w:r>
      <w:r w:rsidRPr="00441ACE">
        <w:rPr>
          <w:rFonts w:asciiTheme="minorHAnsi" w:hAnsiTheme="minorHAnsi" w:cstheme="minorHAnsi"/>
        </w:rPr>
        <w:t xml:space="preserve"> The reduction of a transitional element when a new element is included in the calculation of an award or an existing element is increased.</w:t>
      </w:r>
    </w:p>
  </w:footnote>
  <w:footnote w:id="3">
    <w:p w14:paraId="224004BF" w14:textId="01F1DE0F" w:rsidR="008E295E" w:rsidRDefault="008E295E">
      <w:pPr>
        <w:pStyle w:val="FootnoteText"/>
      </w:pPr>
      <w:r>
        <w:rPr>
          <w:rStyle w:val="FootnoteReference"/>
        </w:rPr>
        <w:footnoteRef/>
      </w:r>
      <w:r>
        <w:t xml:space="preserve"> </w:t>
      </w:r>
      <w:r w:rsidRPr="00537B7A">
        <w:rPr>
          <w:rFonts w:asciiTheme="minorHAnsi" w:hAnsiTheme="minorHAnsi" w:cstheme="minorHAnsi"/>
        </w:rPr>
        <w:t xml:space="preserve">Para.6 of sch.2 </w:t>
      </w:r>
      <w:r w:rsidR="00FA4210" w:rsidRPr="00537B7A">
        <w:rPr>
          <w:rFonts w:asciiTheme="minorHAnsi" w:hAnsiTheme="minorHAnsi" w:cstheme="minorHAnsi"/>
        </w:rPr>
        <w:t>2014 Regulations</w:t>
      </w:r>
      <w:r w:rsidRPr="00537B7A">
        <w:rPr>
          <w:rFonts w:asciiTheme="minorHAnsi" w:hAnsiTheme="minorHAnsi" w:cstheme="minorHAnsi"/>
        </w:rPr>
        <w:t xml:space="preserve"> makes clear that reg.55(2) applies to a transitional SDP element</w:t>
      </w:r>
      <w:r>
        <w:t>.</w:t>
      </w:r>
    </w:p>
  </w:footnote>
  <w:footnote w:id="4">
    <w:p w14:paraId="39047AAD" w14:textId="427D069F" w:rsidR="00D03AAB" w:rsidRDefault="0079592C">
      <w:pPr>
        <w:pStyle w:val="FootnoteText"/>
      </w:pPr>
      <w:r>
        <w:rPr>
          <w:rStyle w:val="FootnoteReference"/>
        </w:rPr>
        <w:footnoteRef/>
      </w:r>
      <w:r>
        <w:t xml:space="preserve"> </w:t>
      </w:r>
      <w:r w:rsidR="00E93E0F">
        <w:t xml:space="preserve">The SSWP’s guidance to her decision makers </w:t>
      </w:r>
      <w:r w:rsidR="00C73E83">
        <w:t xml:space="preserve">(DMs) </w:t>
      </w:r>
      <w:r w:rsidR="00445D2D">
        <w:t xml:space="preserve">on MJ lookalike cases </w:t>
      </w:r>
      <w:r w:rsidR="00E93E0F">
        <w:t>falls into th</w:t>
      </w:r>
      <w:r w:rsidR="00916771">
        <w:t>is</w:t>
      </w:r>
      <w:r w:rsidR="00E93E0F">
        <w:t xml:space="preserve"> trap</w:t>
      </w:r>
      <w:r w:rsidR="00916771">
        <w:t xml:space="preserve">. </w:t>
      </w:r>
      <w:r w:rsidR="00D03AAB">
        <w:t xml:space="preserve">The guidance distinguishes between those cases in which the FTT may </w:t>
      </w:r>
      <w:r w:rsidR="00D30251">
        <w:t xml:space="preserve">decide an appeal in favour </w:t>
      </w:r>
      <w:r w:rsidR="00445D2D">
        <w:t>of the claimant</w:t>
      </w:r>
      <w:r w:rsidR="00C73E83">
        <w:t xml:space="preserve"> </w:t>
      </w:r>
      <w:r w:rsidR="000C42B9">
        <w:t xml:space="preserve">and an appeal in which the FTT may not decide an appeal in favour of the claimant </w:t>
      </w:r>
      <w:r w:rsidR="000C42B9" w:rsidRPr="00C67F01">
        <w:rPr>
          <w:b/>
          <w:bCs/>
          <w:u w:val="single"/>
        </w:rPr>
        <w:t xml:space="preserve">by reference to </w:t>
      </w:r>
      <w:r w:rsidR="00536AEF" w:rsidRPr="00C67F01">
        <w:rPr>
          <w:b/>
          <w:bCs/>
          <w:u w:val="single"/>
        </w:rPr>
        <w:t>the date of the mandatory reconsideration decision</w:t>
      </w:r>
      <w:r w:rsidR="00536AEF">
        <w:t>, not the date of the supersession decision under appeal.  That is wrong for the reasons set out in the submissions.</w:t>
      </w:r>
    </w:p>
    <w:p w14:paraId="3A59F5E5" w14:textId="77777777" w:rsidR="00D03AAB" w:rsidRDefault="00D03AAB">
      <w:pPr>
        <w:pStyle w:val="FootnoteText"/>
      </w:pPr>
    </w:p>
    <w:p w14:paraId="373C16C5" w14:textId="73AA0007" w:rsidR="0079592C" w:rsidRDefault="004059AC">
      <w:pPr>
        <w:pStyle w:val="FootnoteText"/>
      </w:pPr>
      <w:r>
        <w:t xml:space="preserve">The FTT will note that </w:t>
      </w:r>
      <w:r w:rsidR="00A23350">
        <w:t>t</w:t>
      </w:r>
      <w:r w:rsidR="00916771">
        <w:t xml:space="preserve">he guidance </w:t>
      </w:r>
      <w:r w:rsidR="00A23350">
        <w:t xml:space="preserve">correctly </w:t>
      </w:r>
      <w:r w:rsidR="003356F1">
        <w:t>states that</w:t>
      </w:r>
      <w:r>
        <w:t xml:space="preserve">, for a specified class of case (though the guidance wrongly </w:t>
      </w:r>
      <w:r w:rsidR="0058596C">
        <w:t>defines the class of case)</w:t>
      </w:r>
      <w:r>
        <w:t>,</w:t>
      </w:r>
      <w:r w:rsidR="003356F1">
        <w:t xml:space="preserve"> the FTT may provide a remedy that the SSWP</w:t>
      </w:r>
      <w:r>
        <w:t>’s DM</w:t>
      </w:r>
      <w:r w:rsidR="003356F1">
        <w:t xml:space="preserve"> may not</w:t>
      </w:r>
      <w:r w:rsidR="00C7075F">
        <w:t>.</w:t>
      </w:r>
    </w:p>
    <w:p w14:paraId="4F1C3B00" w14:textId="77777777" w:rsidR="00C7075F" w:rsidRDefault="00C7075F">
      <w:pPr>
        <w:pStyle w:val="FootnoteText"/>
      </w:pPr>
    </w:p>
    <w:p w14:paraId="420DBEE1" w14:textId="571C19A1" w:rsidR="00C7075F" w:rsidRDefault="00C7075F">
      <w:pPr>
        <w:pStyle w:val="FootnoteText"/>
      </w:pPr>
      <w:r>
        <w:t>‘</w:t>
      </w:r>
      <w:r w:rsidR="00DB387D" w:rsidRPr="00C67F01">
        <w:rPr>
          <w:i/>
          <w:iCs/>
        </w:rPr>
        <w:t>Guidance and operational instructions about SSWP v MJ [2025] UKUT 35 (AAC)</w:t>
      </w:r>
      <w:r w:rsidR="00DB387D">
        <w:t xml:space="preserve">’, Freedom of Information response, </w:t>
      </w:r>
      <w:r w:rsidR="002478BB">
        <w:t xml:space="preserve">26/08/2025, available at </w:t>
      </w:r>
      <w:hyperlink r:id="rId1" w:history="1">
        <w:r w:rsidR="002478BB" w:rsidRPr="00D538C7">
          <w:rPr>
            <w:rStyle w:val="Hyperlink"/>
          </w:rPr>
          <w:t>https://www.whatdotheyknow.com/request/guidance_and_operational_instruc#incoming-3135186</w:t>
        </w:r>
      </w:hyperlink>
      <w:r w:rsidR="002478BB">
        <w:t xml:space="preserve"> </w:t>
      </w:r>
    </w:p>
  </w:footnote>
  <w:footnote w:id="5">
    <w:p w14:paraId="0FA9AD32" w14:textId="31261B38" w:rsidR="00F22EEA" w:rsidRDefault="00F22EEA">
      <w:pPr>
        <w:pStyle w:val="FootnoteText"/>
      </w:pPr>
      <w:r>
        <w:rPr>
          <w:rStyle w:val="FootnoteReference"/>
        </w:rPr>
        <w:footnoteRef/>
      </w:r>
      <w:r>
        <w:t xml:space="preserve"> </w:t>
      </w:r>
      <w:r w:rsidR="00D23C82" w:rsidRPr="00AC1A9B">
        <w:rPr>
          <w:rFonts w:asciiTheme="minorHAnsi" w:hAnsiTheme="minorHAnsi" w:cstheme="minorHAnsi"/>
        </w:rPr>
        <w:t>Rolt</w:t>
      </w:r>
      <w:r w:rsidR="00C75909" w:rsidRPr="00AC1A9B">
        <w:rPr>
          <w:rFonts w:asciiTheme="minorHAnsi" w:hAnsiTheme="minorHAnsi" w:cstheme="minorHAnsi"/>
        </w:rPr>
        <w:t>, W. and Ward, C. (</w:t>
      </w:r>
      <w:r w:rsidR="00343317" w:rsidRPr="00AC1A9B">
        <w:rPr>
          <w:rFonts w:asciiTheme="minorHAnsi" w:hAnsiTheme="minorHAnsi" w:cstheme="minorHAnsi"/>
        </w:rPr>
        <w:t xml:space="preserve">2024) </w:t>
      </w:r>
      <w:r w:rsidR="005B74CE" w:rsidRPr="00AC1A9B">
        <w:rPr>
          <w:rFonts w:asciiTheme="minorHAnsi" w:hAnsiTheme="minorHAnsi" w:cstheme="minorHAnsi"/>
          <w:i/>
          <w:iCs/>
        </w:rPr>
        <w:t>Social Security Legislation</w:t>
      </w:r>
      <w:r w:rsidR="00963A95" w:rsidRPr="00AC1A9B">
        <w:rPr>
          <w:rFonts w:asciiTheme="minorHAnsi" w:hAnsiTheme="minorHAnsi" w:cstheme="minorHAnsi"/>
          <w:i/>
          <w:iCs/>
        </w:rPr>
        <w:t xml:space="preserve"> 20245/25</w:t>
      </w:r>
      <w:r w:rsidR="005B74CE" w:rsidRPr="00AC1A9B">
        <w:rPr>
          <w:rFonts w:asciiTheme="minorHAnsi" w:hAnsiTheme="minorHAnsi" w:cstheme="minorHAnsi"/>
          <w:i/>
          <w:iCs/>
        </w:rPr>
        <w:t>: Administration, Adjudication and the European Dimension</w:t>
      </w:r>
      <w:r w:rsidR="00963A95" w:rsidRPr="00AC1A9B">
        <w:rPr>
          <w:rFonts w:asciiTheme="minorHAnsi" w:hAnsiTheme="minorHAnsi" w:cstheme="minorHAnsi"/>
          <w:i/>
          <w:iCs/>
        </w:rPr>
        <w:t xml:space="preserve"> (</w:t>
      </w:r>
      <w:proofErr w:type="spellStart"/>
      <w:r w:rsidR="00963A95" w:rsidRPr="00AC1A9B">
        <w:rPr>
          <w:rFonts w:asciiTheme="minorHAnsi" w:hAnsiTheme="minorHAnsi" w:cstheme="minorHAnsi"/>
          <w:i/>
          <w:iCs/>
        </w:rPr>
        <w:t>vol.III</w:t>
      </w:r>
      <w:proofErr w:type="spellEnd"/>
      <w:r w:rsidR="00963A95" w:rsidRPr="00AC1A9B">
        <w:rPr>
          <w:rFonts w:asciiTheme="minorHAnsi" w:hAnsiTheme="minorHAnsi" w:cstheme="minorHAnsi"/>
          <w:i/>
          <w:iCs/>
        </w:rPr>
        <w:t>)</w:t>
      </w:r>
      <w:r w:rsidR="00963A95" w:rsidRPr="00AC1A9B">
        <w:rPr>
          <w:rFonts w:asciiTheme="minorHAnsi" w:hAnsiTheme="minorHAnsi" w:cstheme="minorHAnsi"/>
        </w:rPr>
        <w:t xml:space="preserve">, </w:t>
      </w:r>
      <w:r w:rsidR="00F626EE" w:rsidRPr="00AC1A9B">
        <w:rPr>
          <w:rFonts w:asciiTheme="minorHAnsi" w:hAnsiTheme="minorHAnsi" w:cstheme="minorHAnsi"/>
        </w:rPr>
        <w:t>published by Sweet and Maxwell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DE1A18" w:rsidRDefault="00DE1A18" w:rsidP="0000085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61D779" w14:textId="77777777" w:rsidR="00DE1A18" w:rsidRDefault="00DE1A18" w:rsidP="005F13A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BEF00" w14:textId="77777777" w:rsidR="00DE1A18" w:rsidRDefault="00DE1A18" w:rsidP="005F13A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35E85"/>
    <w:multiLevelType w:val="hybridMultilevel"/>
    <w:tmpl w:val="60063EE6"/>
    <w:lvl w:ilvl="0" w:tplc="A992F116">
      <w:start w:val="1"/>
      <w:numFmt w:val="decimal"/>
      <w:lvlText w:val="%1."/>
      <w:lvlJc w:val="left"/>
      <w:pPr>
        <w:ind w:left="1080" w:hanging="360"/>
      </w:pPr>
      <w:rPr>
        <w:rFonts w:hint="default"/>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BED1541"/>
    <w:multiLevelType w:val="multilevel"/>
    <w:tmpl w:val="30582E46"/>
    <w:lvl w:ilvl="0">
      <w:start w:val="1"/>
      <w:numFmt w:val="decimal"/>
      <w:lvlText w:val="%1."/>
      <w:lvlJc w:val="left"/>
      <w:pPr>
        <w:tabs>
          <w:tab w:val="num" w:pos="360"/>
        </w:tabs>
        <w:ind w:left="360" w:hanging="360"/>
      </w:pPr>
      <w:rPr>
        <w:rFonts w:hint="default"/>
        <w:i w:val="0"/>
        <w:iCs/>
      </w:rPr>
    </w:lvl>
    <w:lvl w:ilvl="1">
      <w:start w:val="1"/>
      <w:numFmt w:val="lowerLetter"/>
      <w:lvlText w:val="%2."/>
      <w:lvlJc w:val="left"/>
      <w:pPr>
        <w:ind w:left="720" w:hanging="360"/>
      </w:p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24046D20"/>
    <w:multiLevelType w:val="hybridMultilevel"/>
    <w:tmpl w:val="61AC6E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084A2D"/>
    <w:multiLevelType w:val="multilevel"/>
    <w:tmpl w:val="30582E46"/>
    <w:lvl w:ilvl="0">
      <w:start w:val="1"/>
      <w:numFmt w:val="decimal"/>
      <w:lvlText w:val="%1."/>
      <w:lvlJc w:val="left"/>
      <w:pPr>
        <w:tabs>
          <w:tab w:val="num" w:pos="360"/>
        </w:tabs>
        <w:ind w:left="360" w:hanging="360"/>
      </w:pPr>
      <w:rPr>
        <w:rFonts w:hint="default"/>
        <w:i w:val="0"/>
        <w:iCs/>
      </w:rPr>
    </w:lvl>
    <w:lvl w:ilvl="1">
      <w:start w:val="1"/>
      <w:numFmt w:val="lowerLetter"/>
      <w:lvlText w:val="%2."/>
      <w:lvlJc w:val="left"/>
      <w:pPr>
        <w:ind w:left="720" w:hanging="360"/>
      </w:p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3E190691"/>
    <w:multiLevelType w:val="hybridMultilevel"/>
    <w:tmpl w:val="41782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632451"/>
    <w:multiLevelType w:val="hybridMultilevel"/>
    <w:tmpl w:val="C6543C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5168A6"/>
    <w:multiLevelType w:val="hybridMultilevel"/>
    <w:tmpl w:val="095C91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0D18D9"/>
    <w:multiLevelType w:val="hybridMultilevel"/>
    <w:tmpl w:val="3202CAC0"/>
    <w:lvl w:ilvl="0" w:tplc="829AC97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A80055"/>
    <w:multiLevelType w:val="hybridMultilevel"/>
    <w:tmpl w:val="B4E8D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4F32B1"/>
    <w:multiLevelType w:val="hybridMultilevel"/>
    <w:tmpl w:val="6D7CAD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5226651">
    <w:abstractNumId w:val="3"/>
  </w:num>
  <w:num w:numId="2" w16cid:durableId="821385635">
    <w:abstractNumId w:val="7"/>
  </w:num>
  <w:num w:numId="3" w16cid:durableId="327560521">
    <w:abstractNumId w:val="5"/>
  </w:num>
  <w:num w:numId="4" w16cid:durableId="1943486879">
    <w:abstractNumId w:val="0"/>
  </w:num>
  <w:num w:numId="5" w16cid:durableId="549922759">
    <w:abstractNumId w:val="2"/>
  </w:num>
  <w:num w:numId="6" w16cid:durableId="1217089901">
    <w:abstractNumId w:val="9"/>
  </w:num>
  <w:num w:numId="7" w16cid:durableId="36706940">
    <w:abstractNumId w:val="8"/>
  </w:num>
  <w:num w:numId="8" w16cid:durableId="895776035">
    <w:abstractNumId w:val="4"/>
  </w:num>
  <w:num w:numId="9" w16cid:durableId="1043480031">
    <w:abstractNumId w:val="6"/>
  </w:num>
  <w:num w:numId="10" w16cid:durableId="1519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9F7"/>
    <w:rsid w:val="000004EC"/>
    <w:rsid w:val="00000857"/>
    <w:rsid w:val="00001775"/>
    <w:rsid w:val="00003966"/>
    <w:rsid w:val="00010E63"/>
    <w:rsid w:val="0001160D"/>
    <w:rsid w:val="00024DC6"/>
    <w:rsid w:val="000360FF"/>
    <w:rsid w:val="00037912"/>
    <w:rsid w:val="00037D7D"/>
    <w:rsid w:val="00043F86"/>
    <w:rsid w:val="00046B60"/>
    <w:rsid w:val="0005274B"/>
    <w:rsid w:val="000529E3"/>
    <w:rsid w:val="0005556A"/>
    <w:rsid w:val="0006672D"/>
    <w:rsid w:val="000672BE"/>
    <w:rsid w:val="00067C41"/>
    <w:rsid w:val="00072F99"/>
    <w:rsid w:val="00073671"/>
    <w:rsid w:val="0007508D"/>
    <w:rsid w:val="00076D9A"/>
    <w:rsid w:val="00083442"/>
    <w:rsid w:val="00083D98"/>
    <w:rsid w:val="0008647D"/>
    <w:rsid w:val="000866AB"/>
    <w:rsid w:val="00092DA8"/>
    <w:rsid w:val="000944BB"/>
    <w:rsid w:val="000A0C28"/>
    <w:rsid w:val="000A5842"/>
    <w:rsid w:val="000B4278"/>
    <w:rsid w:val="000C376C"/>
    <w:rsid w:val="000C42B9"/>
    <w:rsid w:val="000C4D31"/>
    <w:rsid w:val="000D1FCA"/>
    <w:rsid w:val="000D291D"/>
    <w:rsid w:val="000D5AB9"/>
    <w:rsid w:val="000D5AD4"/>
    <w:rsid w:val="000F2625"/>
    <w:rsid w:val="000F4BE8"/>
    <w:rsid w:val="0010128D"/>
    <w:rsid w:val="001023E4"/>
    <w:rsid w:val="00111ABB"/>
    <w:rsid w:val="0011389B"/>
    <w:rsid w:val="00116373"/>
    <w:rsid w:val="00120669"/>
    <w:rsid w:val="001250F7"/>
    <w:rsid w:val="00131F09"/>
    <w:rsid w:val="001322B3"/>
    <w:rsid w:val="001368BE"/>
    <w:rsid w:val="00144A24"/>
    <w:rsid w:val="00145618"/>
    <w:rsid w:val="00146C53"/>
    <w:rsid w:val="001572EC"/>
    <w:rsid w:val="001576C9"/>
    <w:rsid w:val="00162590"/>
    <w:rsid w:val="00166074"/>
    <w:rsid w:val="0016607E"/>
    <w:rsid w:val="00176256"/>
    <w:rsid w:val="00180E91"/>
    <w:rsid w:val="001872D9"/>
    <w:rsid w:val="00193726"/>
    <w:rsid w:val="001A245D"/>
    <w:rsid w:val="001A4718"/>
    <w:rsid w:val="001B0982"/>
    <w:rsid w:val="001B0ADB"/>
    <w:rsid w:val="001B689C"/>
    <w:rsid w:val="001C33A8"/>
    <w:rsid w:val="001C7536"/>
    <w:rsid w:val="001D0711"/>
    <w:rsid w:val="001D7990"/>
    <w:rsid w:val="001E0778"/>
    <w:rsid w:val="001E233E"/>
    <w:rsid w:val="001E5624"/>
    <w:rsid w:val="001F4F7C"/>
    <w:rsid w:val="001F677F"/>
    <w:rsid w:val="002007ED"/>
    <w:rsid w:val="00206FB7"/>
    <w:rsid w:val="0020796A"/>
    <w:rsid w:val="00210755"/>
    <w:rsid w:val="002149F0"/>
    <w:rsid w:val="002209F7"/>
    <w:rsid w:val="00221470"/>
    <w:rsid w:val="0022152D"/>
    <w:rsid w:val="0023471F"/>
    <w:rsid w:val="00237CF3"/>
    <w:rsid w:val="00240C12"/>
    <w:rsid w:val="00243D32"/>
    <w:rsid w:val="00245941"/>
    <w:rsid w:val="002478BB"/>
    <w:rsid w:val="002636DF"/>
    <w:rsid w:val="00263B1A"/>
    <w:rsid w:val="0026723D"/>
    <w:rsid w:val="00272A5F"/>
    <w:rsid w:val="0028395F"/>
    <w:rsid w:val="00283E97"/>
    <w:rsid w:val="00286932"/>
    <w:rsid w:val="00290AC4"/>
    <w:rsid w:val="0029138F"/>
    <w:rsid w:val="00294D2F"/>
    <w:rsid w:val="002A032B"/>
    <w:rsid w:val="002A0689"/>
    <w:rsid w:val="002B034E"/>
    <w:rsid w:val="002B4540"/>
    <w:rsid w:val="002B49A3"/>
    <w:rsid w:val="002B6A24"/>
    <w:rsid w:val="002B6E22"/>
    <w:rsid w:val="002B71E5"/>
    <w:rsid w:val="002C24F0"/>
    <w:rsid w:val="002C47FE"/>
    <w:rsid w:val="002D0680"/>
    <w:rsid w:val="002D1785"/>
    <w:rsid w:val="002D1B17"/>
    <w:rsid w:val="002D3B48"/>
    <w:rsid w:val="002D58D7"/>
    <w:rsid w:val="002D7279"/>
    <w:rsid w:val="002E67F0"/>
    <w:rsid w:val="002F391F"/>
    <w:rsid w:val="00303A42"/>
    <w:rsid w:val="00305FE9"/>
    <w:rsid w:val="0030722A"/>
    <w:rsid w:val="00310093"/>
    <w:rsid w:val="0031056A"/>
    <w:rsid w:val="0031348F"/>
    <w:rsid w:val="00315EF1"/>
    <w:rsid w:val="0031666C"/>
    <w:rsid w:val="0032109D"/>
    <w:rsid w:val="0032324C"/>
    <w:rsid w:val="00323F58"/>
    <w:rsid w:val="00331579"/>
    <w:rsid w:val="00333956"/>
    <w:rsid w:val="003350F2"/>
    <w:rsid w:val="003356F1"/>
    <w:rsid w:val="00337507"/>
    <w:rsid w:val="00343317"/>
    <w:rsid w:val="003463AB"/>
    <w:rsid w:val="003464DA"/>
    <w:rsid w:val="00346A99"/>
    <w:rsid w:val="0034774C"/>
    <w:rsid w:val="00353FDE"/>
    <w:rsid w:val="0035706F"/>
    <w:rsid w:val="00357404"/>
    <w:rsid w:val="00357784"/>
    <w:rsid w:val="003654F0"/>
    <w:rsid w:val="003720F7"/>
    <w:rsid w:val="00377133"/>
    <w:rsid w:val="003776C4"/>
    <w:rsid w:val="003815D6"/>
    <w:rsid w:val="00386A63"/>
    <w:rsid w:val="003925A1"/>
    <w:rsid w:val="00394783"/>
    <w:rsid w:val="00394E36"/>
    <w:rsid w:val="003969C2"/>
    <w:rsid w:val="003978FB"/>
    <w:rsid w:val="003A6452"/>
    <w:rsid w:val="003B4309"/>
    <w:rsid w:val="003B5E49"/>
    <w:rsid w:val="003C57F0"/>
    <w:rsid w:val="003C78A3"/>
    <w:rsid w:val="003C7CC0"/>
    <w:rsid w:val="003E3660"/>
    <w:rsid w:val="003F3A01"/>
    <w:rsid w:val="003F5CB1"/>
    <w:rsid w:val="003F7FB1"/>
    <w:rsid w:val="00400B47"/>
    <w:rsid w:val="00402F3E"/>
    <w:rsid w:val="00404322"/>
    <w:rsid w:val="0040433F"/>
    <w:rsid w:val="004059AC"/>
    <w:rsid w:val="00407BF6"/>
    <w:rsid w:val="00415ADD"/>
    <w:rsid w:val="0042138F"/>
    <w:rsid w:val="00421935"/>
    <w:rsid w:val="00422839"/>
    <w:rsid w:val="00424106"/>
    <w:rsid w:val="00424864"/>
    <w:rsid w:val="00427AD2"/>
    <w:rsid w:val="00430940"/>
    <w:rsid w:val="004350B5"/>
    <w:rsid w:val="00435942"/>
    <w:rsid w:val="00441ACE"/>
    <w:rsid w:val="00445D2D"/>
    <w:rsid w:val="004521C3"/>
    <w:rsid w:val="004549B8"/>
    <w:rsid w:val="00455941"/>
    <w:rsid w:val="00456D10"/>
    <w:rsid w:val="00467EAF"/>
    <w:rsid w:val="00473397"/>
    <w:rsid w:val="00475ECE"/>
    <w:rsid w:val="00487A4E"/>
    <w:rsid w:val="0049281E"/>
    <w:rsid w:val="00492C8B"/>
    <w:rsid w:val="004939CC"/>
    <w:rsid w:val="004955CF"/>
    <w:rsid w:val="004A1E3D"/>
    <w:rsid w:val="004A2654"/>
    <w:rsid w:val="004B485B"/>
    <w:rsid w:val="004B4AEC"/>
    <w:rsid w:val="004B583D"/>
    <w:rsid w:val="004B602B"/>
    <w:rsid w:val="004C35F5"/>
    <w:rsid w:val="004D351E"/>
    <w:rsid w:val="004E267C"/>
    <w:rsid w:val="004E3323"/>
    <w:rsid w:val="004F26D6"/>
    <w:rsid w:val="004F293C"/>
    <w:rsid w:val="00503E0C"/>
    <w:rsid w:val="005042D2"/>
    <w:rsid w:val="005042F9"/>
    <w:rsid w:val="00507876"/>
    <w:rsid w:val="00517C2C"/>
    <w:rsid w:val="0052006A"/>
    <w:rsid w:val="00521128"/>
    <w:rsid w:val="005311EF"/>
    <w:rsid w:val="005337B3"/>
    <w:rsid w:val="00536AEF"/>
    <w:rsid w:val="00537B7A"/>
    <w:rsid w:val="00542C0C"/>
    <w:rsid w:val="0055230A"/>
    <w:rsid w:val="0055351B"/>
    <w:rsid w:val="00557D04"/>
    <w:rsid w:val="005641F9"/>
    <w:rsid w:val="00567E26"/>
    <w:rsid w:val="005717CA"/>
    <w:rsid w:val="00577A8C"/>
    <w:rsid w:val="00585106"/>
    <w:rsid w:val="0058596C"/>
    <w:rsid w:val="00586445"/>
    <w:rsid w:val="005900B2"/>
    <w:rsid w:val="005908AC"/>
    <w:rsid w:val="005949AC"/>
    <w:rsid w:val="005A5A94"/>
    <w:rsid w:val="005B3858"/>
    <w:rsid w:val="005B69CE"/>
    <w:rsid w:val="005B74CE"/>
    <w:rsid w:val="005C7E39"/>
    <w:rsid w:val="005D0A54"/>
    <w:rsid w:val="005D0F22"/>
    <w:rsid w:val="005D3816"/>
    <w:rsid w:val="005D50EC"/>
    <w:rsid w:val="005D532B"/>
    <w:rsid w:val="005D736E"/>
    <w:rsid w:val="005E26C0"/>
    <w:rsid w:val="005E3FA0"/>
    <w:rsid w:val="005E4125"/>
    <w:rsid w:val="005E5E44"/>
    <w:rsid w:val="005F13A7"/>
    <w:rsid w:val="00603545"/>
    <w:rsid w:val="0060561B"/>
    <w:rsid w:val="00612928"/>
    <w:rsid w:val="0061501C"/>
    <w:rsid w:val="0061572F"/>
    <w:rsid w:val="0061775B"/>
    <w:rsid w:val="00621822"/>
    <w:rsid w:val="00624176"/>
    <w:rsid w:val="006249E4"/>
    <w:rsid w:val="006250C5"/>
    <w:rsid w:val="00625288"/>
    <w:rsid w:val="006256F7"/>
    <w:rsid w:val="00626FE4"/>
    <w:rsid w:val="00632373"/>
    <w:rsid w:val="00633675"/>
    <w:rsid w:val="006346BC"/>
    <w:rsid w:val="00635338"/>
    <w:rsid w:val="00637032"/>
    <w:rsid w:val="00646BD9"/>
    <w:rsid w:val="00647590"/>
    <w:rsid w:val="00650593"/>
    <w:rsid w:val="00662B87"/>
    <w:rsid w:val="00683359"/>
    <w:rsid w:val="00683786"/>
    <w:rsid w:val="00690EA5"/>
    <w:rsid w:val="006917C8"/>
    <w:rsid w:val="00693875"/>
    <w:rsid w:val="006940B0"/>
    <w:rsid w:val="006A4F1A"/>
    <w:rsid w:val="006B09A6"/>
    <w:rsid w:val="006B21F2"/>
    <w:rsid w:val="006B3D73"/>
    <w:rsid w:val="006C2115"/>
    <w:rsid w:val="006C42BE"/>
    <w:rsid w:val="006C71DE"/>
    <w:rsid w:val="006D1121"/>
    <w:rsid w:val="006D4414"/>
    <w:rsid w:val="006D6164"/>
    <w:rsid w:val="006D6BEE"/>
    <w:rsid w:val="006E14B3"/>
    <w:rsid w:val="006E5D8E"/>
    <w:rsid w:val="006E5EDD"/>
    <w:rsid w:val="006E7C81"/>
    <w:rsid w:val="006F5C6A"/>
    <w:rsid w:val="006F72D6"/>
    <w:rsid w:val="006F7300"/>
    <w:rsid w:val="006F7D0C"/>
    <w:rsid w:val="0070199B"/>
    <w:rsid w:val="007027B2"/>
    <w:rsid w:val="00703BB0"/>
    <w:rsid w:val="00704B9C"/>
    <w:rsid w:val="0071429E"/>
    <w:rsid w:val="0072081B"/>
    <w:rsid w:val="00723BDF"/>
    <w:rsid w:val="00723F43"/>
    <w:rsid w:val="0072558E"/>
    <w:rsid w:val="007263E8"/>
    <w:rsid w:val="00727C21"/>
    <w:rsid w:val="0073583B"/>
    <w:rsid w:val="00736560"/>
    <w:rsid w:val="00744ADD"/>
    <w:rsid w:val="00744E3F"/>
    <w:rsid w:val="00751651"/>
    <w:rsid w:val="00753007"/>
    <w:rsid w:val="007556F3"/>
    <w:rsid w:val="007613FC"/>
    <w:rsid w:val="0076199B"/>
    <w:rsid w:val="0076738D"/>
    <w:rsid w:val="007720E2"/>
    <w:rsid w:val="00773FE7"/>
    <w:rsid w:val="0077431C"/>
    <w:rsid w:val="0077435C"/>
    <w:rsid w:val="007778C4"/>
    <w:rsid w:val="00777F6B"/>
    <w:rsid w:val="00780BF4"/>
    <w:rsid w:val="00781822"/>
    <w:rsid w:val="0078481B"/>
    <w:rsid w:val="0078658B"/>
    <w:rsid w:val="007948BB"/>
    <w:rsid w:val="0079592C"/>
    <w:rsid w:val="00796E6F"/>
    <w:rsid w:val="007A74A0"/>
    <w:rsid w:val="007B5D1E"/>
    <w:rsid w:val="007B68BE"/>
    <w:rsid w:val="007C1AC7"/>
    <w:rsid w:val="007C5DF9"/>
    <w:rsid w:val="007D3402"/>
    <w:rsid w:val="007E1A50"/>
    <w:rsid w:val="007E324A"/>
    <w:rsid w:val="007E5E70"/>
    <w:rsid w:val="008079A1"/>
    <w:rsid w:val="008123EE"/>
    <w:rsid w:val="008154AC"/>
    <w:rsid w:val="00817F9B"/>
    <w:rsid w:val="00822F4D"/>
    <w:rsid w:val="00825E02"/>
    <w:rsid w:val="00826BA3"/>
    <w:rsid w:val="008327AC"/>
    <w:rsid w:val="0083419E"/>
    <w:rsid w:val="008413A4"/>
    <w:rsid w:val="0084435F"/>
    <w:rsid w:val="008463AA"/>
    <w:rsid w:val="0084721F"/>
    <w:rsid w:val="00850056"/>
    <w:rsid w:val="00850765"/>
    <w:rsid w:val="00850F5D"/>
    <w:rsid w:val="00851BC2"/>
    <w:rsid w:val="00853B0B"/>
    <w:rsid w:val="00862D7A"/>
    <w:rsid w:val="00863AFF"/>
    <w:rsid w:val="00863D7A"/>
    <w:rsid w:val="008642D4"/>
    <w:rsid w:val="00870DA6"/>
    <w:rsid w:val="00876FCD"/>
    <w:rsid w:val="00885A40"/>
    <w:rsid w:val="00886F2E"/>
    <w:rsid w:val="008902BB"/>
    <w:rsid w:val="00892C9E"/>
    <w:rsid w:val="0089BAE5"/>
    <w:rsid w:val="008A5DBE"/>
    <w:rsid w:val="008A6466"/>
    <w:rsid w:val="008B0AF5"/>
    <w:rsid w:val="008B34CB"/>
    <w:rsid w:val="008B52DC"/>
    <w:rsid w:val="008D1612"/>
    <w:rsid w:val="008D1A51"/>
    <w:rsid w:val="008D228F"/>
    <w:rsid w:val="008D60A8"/>
    <w:rsid w:val="008E0951"/>
    <w:rsid w:val="008E295E"/>
    <w:rsid w:val="008E5ED7"/>
    <w:rsid w:val="008E5F69"/>
    <w:rsid w:val="008F5DB4"/>
    <w:rsid w:val="008F6EAC"/>
    <w:rsid w:val="009013B6"/>
    <w:rsid w:val="00901EAE"/>
    <w:rsid w:val="009046F7"/>
    <w:rsid w:val="00906EA9"/>
    <w:rsid w:val="009147B3"/>
    <w:rsid w:val="00914FDE"/>
    <w:rsid w:val="00916771"/>
    <w:rsid w:val="0091719B"/>
    <w:rsid w:val="0092331F"/>
    <w:rsid w:val="009253AD"/>
    <w:rsid w:val="00925B28"/>
    <w:rsid w:val="009261A7"/>
    <w:rsid w:val="0093313C"/>
    <w:rsid w:val="0093341F"/>
    <w:rsid w:val="00934DFD"/>
    <w:rsid w:val="00934F59"/>
    <w:rsid w:val="009428D8"/>
    <w:rsid w:val="00943FFA"/>
    <w:rsid w:val="0095515B"/>
    <w:rsid w:val="00955499"/>
    <w:rsid w:val="0095697E"/>
    <w:rsid w:val="00956C47"/>
    <w:rsid w:val="00957313"/>
    <w:rsid w:val="00963A95"/>
    <w:rsid w:val="00965E38"/>
    <w:rsid w:val="00967295"/>
    <w:rsid w:val="00985103"/>
    <w:rsid w:val="009A0469"/>
    <w:rsid w:val="009A4DCF"/>
    <w:rsid w:val="009B1960"/>
    <w:rsid w:val="009B1B66"/>
    <w:rsid w:val="009C061C"/>
    <w:rsid w:val="009C1F51"/>
    <w:rsid w:val="009C2C92"/>
    <w:rsid w:val="009C3435"/>
    <w:rsid w:val="009C5B49"/>
    <w:rsid w:val="009D3904"/>
    <w:rsid w:val="009D3A88"/>
    <w:rsid w:val="009D3CCE"/>
    <w:rsid w:val="009E337C"/>
    <w:rsid w:val="009E561D"/>
    <w:rsid w:val="009E59BA"/>
    <w:rsid w:val="009E664A"/>
    <w:rsid w:val="009E742B"/>
    <w:rsid w:val="009F0559"/>
    <w:rsid w:val="009F1BCD"/>
    <w:rsid w:val="009F3C05"/>
    <w:rsid w:val="009F42C5"/>
    <w:rsid w:val="009F4517"/>
    <w:rsid w:val="00A0012C"/>
    <w:rsid w:val="00A01F81"/>
    <w:rsid w:val="00A07FC6"/>
    <w:rsid w:val="00A12B70"/>
    <w:rsid w:val="00A228AA"/>
    <w:rsid w:val="00A23350"/>
    <w:rsid w:val="00A26CF1"/>
    <w:rsid w:val="00A27354"/>
    <w:rsid w:val="00A27C94"/>
    <w:rsid w:val="00A3000E"/>
    <w:rsid w:val="00A3099E"/>
    <w:rsid w:val="00A372EA"/>
    <w:rsid w:val="00A41140"/>
    <w:rsid w:val="00A4210E"/>
    <w:rsid w:val="00A428F1"/>
    <w:rsid w:val="00A43915"/>
    <w:rsid w:val="00A45252"/>
    <w:rsid w:val="00A6308D"/>
    <w:rsid w:val="00A7226F"/>
    <w:rsid w:val="00A73791"/>
    <w:rsid w:val="00A754CC"/>
    <w:rsid w:val="00A76D32"/>
    <w:rsid w:val="00A81B72"/>
    <w:rsid w:val="00A831AF"/>
    <w:rsid w:val="00A93073"/>
    <w:rsid w:val="00A94C61"/>
    <w:rsid w:val="00A94F1F"/>
    <w:rsid w:val="00AA2071"/>
    <w:rsid w:val="00AA3092"/>
    <w:rsid w:val="00AAC594"/>
    <w:rsid w:val="00AB0745"/>
    <w:rsid w:val="00AB1156"/>
    <w:rsid w:val="00AB49A5"/>
    <w:rsid w:val="00AB521E"/>
    <w:rsid w:val="00AB5B67"/>
    <w:rsid w:val="00AC06E8"/>
    <w:rsid w:val="00AC0C42"/>
    <w:rsid w:val="00AC1A9B"/>
    <w:rsid w:val="00AE3146"/>
    <w:rsid w:val="00AE44B0"/>
    <w:rsid w:val="00AE509E"/>
    <w:rsid w:val="00AF4C4D"/>
    <w:rsid w:val="00B123D1"/>
    <w:rsid w:val="00B1458B"/>
    <w:rsid w:val="00B177DA"/>
    <w:rsid w:val="00B25B6E"/>
    <w:rsid w:val="00B307FB"/>
    <w:rsid w:val="00B30F7C"/>
    <w:rsid w:val="00B31F63"/>
    <w:rsid w:val="00B3559F"/>
    <w:rsid w:val="00B36E55"/>
    <w:rsid w:val="00B36FBC"/>
    <w:rsid w:val="00B40329"/>
    <w:rsid w:val="00B447B8"/>
    <w:rsid w:val="00B53F5E"/>
    <w:rsid w:val="00B6112A"/>
    <w:rsid w:val="00B66693"/>
    <w:rsid w:val="00B70F84"/>
    <w:rsid w:val="00B7346F"/>
    <w:rsid w:val="00B74B85"/>
    <w:rsid w:val="00B85333"/>
    <w:rsid w:val="00B90AF1"/>
    <w:rsid w:val="00B90EB4"/>
    <w:rsid w:val="00B92355"/>
    <w:rsid w:val="00B95F53"/>
    <w:rsid w:val="00B9667A"/>
    <w:rsid w:val="00BA5174"/>
    <w:rsid w:val="00BA52CD"/>
    <w:rsid w:val="00BB6AB0"/>
    <w:rsid w:val="00BC2CF6"/>
    <w:rsid w:val="00BC2EDB"/>
    <w:rsid w:val="00BC5D99"/>
    <w:rsid w:val="00BD31F7"/>
    <w:rsid w:val="00BD726A"/>
    <w:rsid w:val="00BE7DE6"/>
    <w:rsid w:val="00BF73B4"/>
    <w:rsid w:val="00BF7892"/>
    <w:rsid w:val="00C0236E"/>
    <w:rsid w:val="00C047C4"/>
    <w:rsid w:val="00C050AF"/>
    <w:rsid w:val="00C1222D"/>
    <w:rsid w:val="00C210B5"/>
    <w:rsid w:val="00C21EC3"/>
    <w:rsid w:val="00C25510"/>
    <w:rsid w:val="00C329C0"/>
    <w:rsid w:val="00C34FE2"/>
    <w:rsid w:val="00C44C97"/>
    <w:rsid w:val="00C46B5F"/>
    <w:rsid w:val="00C46F4E"/>
    <w:rsid w:val="00C50F13"/>
    <w:rsid w:val="00C521AA"/>
    <w:rsid w:val="00C54287"/>
    <w:rsid w:val="00C54BD4"/>
    <w:rsid w:val="00C5518C"/>
    <w:rsid w:val="00C570CC"/>
    <w:rsid w:val="00C6522A"/>
    <w:rsid w:val="00C67F01"/>
    <w:rsid w:val="00C7075F"/>
    <w:rsid w:val="00C70C27"/>
    <w:rsid w:val="00C70FC8"/>
    <w:rsid w:val="00C73E83"/>
    <w:rsid w:val="00C74650"/>
    <w:rsid w:val="00C75909"/>
    <w:rsid w:val="00C82561"/>
    <w:rsid w:val="00C83C9E"/>
    <w:rsid w:val="00C865EB"/>
    <w:rsid w:val="00C96157"/>
    <w:rsid w:val="00CA166D"/>
    <w:rsid w:val="00CB1C96"/>
    <w:rsid w:val="00CB5B92"/>
    <w:rsid w:val="00CB7438"/>
    <w:rsid w:val="00CB7994"/>
    <w:rsid w:val="00CC0047"/>
    <w:rsid w:val="00CC24D2"/>
    <w:rsid w:val="00CC299A"/>
    <w:rsid w:val="00CD0AF5"/>
    <w:rsid w:val="00CD1EE5"/>
    <w:rsid w:val="00CD2258"/>
    <w:rsid w:val="00CD4AA6"/>
    <w:rsid w:val="00CD4AC4"/>
    <w:rsid w:val="00CE1538"/>
    <w:rsid w:val="00CE2963"/>
    <w:rsid w:val="00CE49FE"/>
    <w:rsid w:val="00CF2083"/>
    <w:rsid w:val="00CF45B5"/>
    <w:rsid w:val="00CF4969"/>
    <w:rsid w:val="00CF7BA3"/>
    <w:rsid w:val="00D03AAB"/>
    <w:rsid w:val="00D10E84"/>
    <w:rsid w:val="00D17B53"/>
    <w:rsid w:val="00D21EA7"/>
    <w:rsid w:val="00D23C82"/>
    <w:rsid w:val="00D270E5"/>
    <w:rsid w:val="00D27B3C"/>
    <w:rsid w:val="00D30251"/>
    <w:rsid w:val="00D4301E"/>
    <w:rsid w:val="00D44885"/>
    <w:rsid w:val="00D46E75"/>
    <w:rsid w:val="00D52B1C"/>
    <w:rsid w:val="00D60158"/>
    <w:rsid w:val="00D605E8"/>
    <w:rsid w:val="00D63E23"/>
    <w:rsid w:val="00D65102"/>
    <w:rsid w:val="00D8278F"/>
    <w:rsid w:val="00D85C6B"/>
    <w:rsid w:val="00DA45E0"/>
    <w:rsid w:val="00DB387D"/>
    <w:rsid w:val="00DB4E4B"/>
    <w:rsid w:val="00DC04BD"/>
    <w:rsid w:val="00DC1AD3"/>
    <w:rsid w:val="00DC7946"/>
    <w:rsid w:val="00DD7189"/>
    <w:rsid w:val="00DD7518"/>
    <w:rsid w:val="00DE1A18"/>
    <w:rsid w:val="00DF5C8A"/>
    <w:rsid w:val="00E032A7"/>
    <w:rsid w:val="00E04860"/>
    <w:rsid w:val="00E079D8"/>
    <w:rsid w:val="00E16828"/>
    <w:rsid w:val="00E177A6"/>
    <w:rsid w:val="00E23C14"/>
    <w:rsid w:val="00E37A1A"/>
    <w:rsid w:val="00E37F32"/>
    <w:rsid w:val="00E37FD9"/>
    <w:rsid w:val="00E44AF3"/>
    <w:rsid w:val="00E45DBF"/>
    <w:rsid w:val="00E4634D"/>
    <w:rsid w:val="00E46CC1"/>
    <w:rsid w:val="00E52571"/>
    <w:rsid w:val="00E56B65"/>
    <w:rsid w:val="00E60BFE"/>
    <w:rsid w:val="00E65010"/>
    <w:rsid w:val="00E71D17"/>
    <w:rsid w:val="00E758B7"/>
    <w:rsid w:val="00E76D1C"/>
    <w:rsid w:val="00E77A14"/>
    <w:rsid w:val="00E84588"/>
    <w:rsid w:val="00E93E0F"/>
    <w:rsid w:val="00EA01D7"/>
    <w:rsid w:val="00EA0D71"/>
    <w:rsid w:val="00EB1C77"/>
    <w:rsid w:val="00EB27F2"/>
    <w:rsid w:val="00EB6AE9"/>
    <w:rsid w:val="00EB74F8"/>
    <w:rsid w:val="00EC1837"/>
    <w:rsid w:val="00EC27E3"/>
    <w:rsid w:val="00EC3556"/>
    <w:rsid w:val="00EC4D9B"/>
    <w:rsid w:val="00EC541A"/>
    <w:rsid w:val="00EC75A0"/>
    <w:rsid w:val="00EC7DF7"/>
    <w:rsid w:val="00ED073E"/>
    <w:rsid w:val="00ED5863"/>
    <w:rsid w:val="00ED7D76"/>
    <w:rsid w:val="00EE041A"/>
    <w:rsid w:val="00EE451B"/>
    <w:rsid w:val="00EE4B31"/>
    <w:rsid w:val="00EE5AD6"/>
    <w:rsid w:val="00EE5CF2"/>
    <w:rsid w:val="00EF17C0"/>
    <w:rsid w:val="00F00660"/>
    <w:rsid w:val="00F0088D"/>
    <w:rsid w:val="00F04C52"/>
    <w:rsid w:val="00F0713D"/>
    <w:rsid w:val="00F078AD"/>
    <w:rsid w:val="00F153C0"/>
    <w:rsid w:val="00F15560"/>
    <w:rsid w:val="00F22EEA"/>
    <w:rsid w:val="00F24219"/>
    <w:rsid w:val="00F249EE"/>
    <w:rsid w:val="00F259E6"/>
    <w:rsid w:val="00F26F5D"/>
    <w:rsid w:val="00F31E74"/>
    <w:rsid w:val="00F33C9C"/>
    <w:rsid w:val="00F36285"/>
    <w:rsid w:val="00F3657F"/>
    <w:rsid w:val="00F365E7"/>
    <w:rsid w:val="00F44468"/>
    <w:rsid w:val="00F51961"/>
    <w:rsid w:val="00F54EAD"/>
    <w:rsid w:val="00F626EE"/>
    <w:rsid w:val="00F64294"/>
    <w:rsid w:val="00F644DF"/>
    <w:rsid w:val="00F7176E"/>
    <w:rsid w:val="00F7550B"/>
    <w:rsid w:val="00F756EE"/>
    <w:rsid w:val="00F77FB6"/>
    <w:rsid w:val="00F842AF"/>
    <w:rsid w:val="00F8610A"/>
    <w:rsid w:val="00F873D7"/>
    <w:rsid w:val="00F9127B"/>
    <w:rsid w:val="00F9352E"/>
    <w:rsid w:val="00F96493"/>
    <w:rsid w:val="00FA22E7"/>
    <w:rsid w:val="00FA4210"/>
    <w:rsid w:val="00FB1CBA"/>
    <w:rsid w:val="00FB69A9"/>
    <w:rsid w:val="00FB6B50"/>
    <w:rsid w:val="00FC2295"/>
    <w:rsid w:val="00FC237A"/>
    <w:rsid w:val="00FC30FB"/>
    <w:rsid w:val="00FC7570"/>
    <w:rsid w:val="00FD2088"/>
    <w:rsid w:val="00FD7061"/>
    <w:rsid w:val="00FE6B37"/>
    <w:rsid w:val="00FF6BCF"/>
    <w:rsid w:val="013BE629"/>
    <w:rsid w:val="0203AD0D"/>
    <w:rsid w:val="029B19DE"/>
    <w:rsid w:val="06433189"/>
    <w:rsid w:val="091DA2C2"/>
    <w:rsid w:val="093475C6"/>
    <w:rsid w:val="0960F059"/>
    <w:rsid w:val="0AB27575"/>
    <w:rsid w:val="0B07C607"/>
    <w:rsid w:val="0B2B1BAF"/>
    <w:rsid w:val="0D3DCEFC"/>
    <w:rsid w:val="0E3A79D8"/>
    <w:rsid w:val="0E4C3E0F"/>
    <w:rsid w:val="0E630FDA"/>
    <w:rsid w:val="0E6FD92F"/>
    <w:rsid w:val="10960E70"/>
    <w:rsid w:val="114C2AA4"/>
    <w:rsid w:val="122C4A31"/>
    <w:rsid w:val="12E29036"/>
    <w:rsid w:val="1542C50E"/>
    <w:rsid w:val="16C257DE"/>
    <w:rsid w:val="16E9D22F"/>
    <w:rsid w:val="1B90EDE2"/>
    <w:rsid w:val="1CFDBBA8"/>
    <w:rsid w:val="201FABB3"/>
    <w:rsid w:val="21126199"/>
    <w:rsid w:val="24836558"/>
    <w:rsid w:val="2521284D"/>
    <w:rsid w:val="26B58032"/>
    <w:rsid w:val="2747F024"/>
    <w:rsid w:val="2AC9A328"/>
    <w:rsid w:val="2D62A70E"/>
    <w:rsid w:val="3537D4B0"/>
    <w:rsid w:val="377BAA4E"/>
    <w:rsid w:val="3A0ECBD8"/>
    <w:rsid w:val="41C74326"/>
    <w:rsid w:val="46A89E4B"/>
    <w:rsid w:val="47C46393"/>
    <w:rsid w:val="4A4C72FC"/>
    <w:rsid w:val="4B7A5B1E"/>
    <w:rsid w:val="4C22C896"/>
    <w:rsid w:val="4CADF4DD"/>
    <w:rsid w:val="4DEDA851"/>
    <w:rsid w:val="4EAC4961"/>
    <w:rsid w:val="4F53D38A"/>
    <w:rsid w:val="512D8CCE"/>
    <w:rsid w:val="52264CA2"/>
    <w:rsid w:val="5391DA9F"/>
    <w:rsid w:val="55528A36"/>
    <w:rsid w:val="57EA1E35"/>
    <w:rsid w:val="5C4C6DA2"/>
    <w:rsid w:val="5C62D486"/>
    <w:rsid w:val="603753A1"/>
    <w:rsid w:val="6037DF37"/>
    <w:rsid w:val="60391749"/>
    <w:rsid w:val="6236C256"/>
    <w:rsid w:val="64A191AE"/>
    <w:rsid w:val="64AD5257"/>
    <w:rsid w:val="73DAACA0"/>
    <w:rsid w:val="74DD14C1"/>
    <w:rsid w:val="7530BE56"/>
    <w:rsid w:val="77CA219B"/>
    <w:rsid w:val="789EB95E"/>
    <w:rsid w:val="7B4784C4"/>
    <w:rsid w:val="7B6B5008"/>
    <w:rsid w:val="7C155A11"/>
    <w:rsid w:val="7CEE95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BE877"/>
  <w15:chartTrackingRefBased/>
  <w15:docId w15:val="{EAE65E45-C632-4243-9B3D-7443C5FA1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F13A7"/>
    <w:pPr>
      <w:tabs>
        <w:tab w:val="center" w:pos="4153"/>
        <w:tab w:val="right" w:pos="8306"/>
      </w:tabs>
    </w:pPr>
  </w:style>
  <w:style w:type="paragraph" w:styleId="Footer">
    <w:name w:val="footer"/>
    <w:basedOn w:val="Normal"/>
    <w:rsid w:val="005F13A7"/>
    <w:pPr>
      <w:tabs>
        <w:tab w:val="center" w:pos="4153"/>
        <w:tab w:val="right" w:pos="8306"/>
      </w:tabs>
    </w:pPr>
  </w:style>
  <w:style w:type="character" w:styleId="PageNumber">
    <w:name w:val="page number"/>
    <w:basedOn w:val="DefaultParagraphFont"/>
    <w:rsid w:val="005F13A7"/>
  </w:style>
  <w:style w:type="character" w:styleId="Emphasis">
    <w:name w:val="Emphasis"/>
    <w:qFormat/>
    <w:rsid w:val="00A228AA"/>
    <w:rPr>
      <w:i/>
      <w:iCs/>
    </w:rPr>
  </w:style>
  <w:style w:type="paragraph" w:customStyle="1" w:styleId="Headnotetext">
    <w:name w:val="Headnote text"/>
    <w:basedOn w:val="Normal"/>
    <w:rsid w:val="00A228AA"/>
    <w:pPr>
      <w:spacing w:after="120"/>
      <w:jc w:val="both"/>
    </w:pPr>
    <w:rPr>
      <w:kern w:val="28"/>
      <w:sz w:val="20"/>
      <w:szCs w:val="20"/>
    </w:rPr>
  </w:style>
  <w:style w:type="paragraph" w:customStyle="1" w:styleId="DecisionText">
    <w:name w:val="Decision Text"/>
    <w:basedOn w:val="Normal"/>
    <w:rsid w:val="00455941"/>
    <w:pPr>
      <w:spacing w:after="120"/>
      <w:jc w:val="both"/>
    </w:pPr>
    <w:rPr>
      <w:kern w:val="28"/>
      <w:szCs w:val="20"/>
    </w:rPr>
  </w:style>
  <w:style w:type="paragraph" w:styleId="BalloonText">
    <w:name w:val="Balloon Text"/>
    <w:basedOn w:val="Normal"/>
    <w:link w:val="BalloonTextChar"/>
    <w:rsid w:val="00CD1EE5"/>
    <w:rPr>
      <w:rFonts w:ascii="Tahoma" w:hAnsi="Tahoma" w:cs="Tahoma"/>
      <w:sz w:val="16"/>
      <w:szCs w:val="16"/>
    </w:rPr>
  </w:style>
  <w:style w:type="character" w:customStyle="1" w:styleId="BalloonTextChar">
    <w:name w:val="Balloon Text Char"/>
    <w:link w:val="BalloonText"/>
    <w:rsid w:val="00CD1EE5"/>
    <w:rPr>
      <w:rFonts w:ascii="Tahoma" w:hAnsi="Tahoma" w:cs="Tahoma"/>
      <w:sz w:val="16"/>
      <w:szCs w:val="16"/>
    </w:rPr>
  </w:style>
  <w:style w:type="paragraph" w:styleId="FootnoteText">
    <w:name w:val="footnote text"/>
    <w:basedOn w:val="Normal"/>
    <w:link w:val="FootnoteTextChar"/>
    <w:rsid w:val="00E37F32"/>
    <w:rPr>
      <w:sz w:val="20"/>
      <w:szCs w:val="20"/>
    </w:rPr>
  </w:style>
  <w:style w:type="character" w:customStyle="1" w:styleId="FootnoteTextChar">
    <w:name w:val="Footnote Text Char"/>
    <w:basedOn w:val="DefaultParagraphFont"/>
    <w:link w:val="FootnoteText"/>
    <w:rsid w:val="00E37F32"/>
  </w:style>
  <w:style w:type="character" w:styleId="FootnoteReference">
    <w:name w:val="footnote reference"/>
    <w:rsid w:val="00E37F32"/>
    <w:rPr>
      <w:vertAlign w:val="superscript"/>
    </w:rPr>
  </w:style>
  <w:style w:type="character" w:styleId="CommentReference">
    <w:name w:val="annotation reference"/>
    <w:rsid w:val="0008647D"/>
    <w:rPr>
      <w:sz w:val="16"/>
      <w:szCs w:val="16"/>
    </w:rPr>
  </w:style>
  <w:style w:type="paragraph" w:styleId="CommentText">
    <w:name w:val="annotation text"/>
    <w:basedOn w:val="Normal"/>
    <w:link w:val="CommentTextChar"/>
    <w:rsid w:val="0008647D"/>
    <w:rPr>
      <w:sz w:val="20"/>
      <w:szCs w:val="20"/>
    </w:rPr>
  </w:style>
  <w:style w:type="character" w:customStyle="1" w:styleId="CommentTextChar">
    <w:name w:val="Comment Text Char"/>
    <w:basedOn w:val="DefaultParagraphFont"/>
    <w:link w:val="CommentText"/>
    <w:rsid w:val="0008647D"/>
  </w:style>
  <w:style w:type="paragraph" w:styleId="CommentSubject">
    <w:name w:val="annotation subject"/>
    <w:basedOn w:val="CommentText"/>
    <w:next w:val="CommentText"/>
    <w:link w:val="CommentSubjectChar"/>
    <w:rsid w:val="0008647D"/>
    <w:rPr>
      <w:b/>
      <w:bCs/>
    </w:rPr>
  </w:style>
  <w:style w:type="character" w:customStyle="1" w:styleId="CommentSubjectChar">
    <w:name w:val="Comment Subject Char"/>
    <w:link w:val="CommentSubject"/>
    <w:rsid w:val="0008647D"/>
    <w:rPr>
      <w:b/>
      <w:bCs/>
    </w:rPr>
  </w:style>
  <w:style w:type="character" w:styleId="Hyperlink">
    <w:name w:val="Hyperlink"/>
    <w:rsid w:val="00C74650"/>
    <w:rPr>
      <w:color w:val="0563C1"/>
      <w:u w:val="single"/>
    </w:rPr>
  </w:style>
  <w:style w:type="character" w:styleId="FollowedHyperlink">
    <w:name w:val="FollowedHyperlink"/>
    <w:rsid w:val="002636DF"/>
    <w:rPr>
      <w:color w:val="954F72"/>
      <w:u w:val="single"/>
    </w:rPr>
  </w:style>
  <w:style w:type="character" w:styleId="UnresolvedMention">
    <w:name w:val="Unresolved Mention"/>
    <w:uiPriority w:val="99"/>
    <w:semiHidden/>
    <w:unhideWhenUsed/>
    <w:rsid w:val="0006672D"/>
    <w:rPr>
      <w:color w:val="605E5C"/>
      <w:shd w:val="clear" w:color="auto" w:fill="E1DFDD"/>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6F7D0C"/>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05646">
      <w:bodyDiv w:val="1"/>
      <w:marLeft w:val="0"/>
      <w:marRight w:val="0"/>
      <w:marTop w:val="0"/>
      <w:marBottom w:val="0"/>
      <w:divBdr>
        <w:top w:val="none" w:sz="0" w:space="0" w:color="auto"/>
        <w:left w:val="none" w:sz="0" w:space="0" w:color="auto"/>
        <w:bottom w:val="none" w:sz="0" w:space="0" w:color="auto"/>
        <w:right w:val="none" w:sz="0" w:space="0" w:color="auto"/>
      </w:divBdr>
    </w:div>
    <w:div w:id="309752512">
      <w:bodyDiv w:val="1"/>
      <w:marLeft w:val="0"/>
      <w:marRight w:val="0"/>
      <w:marTop w:val="0"/>
      <w:marBottom w:val="0"/>
      <w:divBdr>
        <w:top w:val="none" w:sz="0" w:space="0" w:color="auto"/>
        <w:left w:val="none" w:sz="0" w:space="0" w:color="auto"/>
        <w:bottom w:val="none" w:sz="0" w:space="0" w:color="auto"/>
        <w:right w:val="none" w:sz="0" w:space="0" w:color="auto"/>
      </w:divBdr>
    </w:div>
    <w:div w:id="710301122">
      <w:bodyDiv w:val="1"/>
      <w:marLeft w:val="0"/>
      <w:marRight w:val="0"/>
      <w:marTop w:val="0"/>
      <w:marBottom w:val="0"/>
      <w:divBdr>
        <w:top w:val="none" w:sz="0" w:space="0" w:color="auto"/>
        <w:left w:val="none" w:sz="0" w:space="0" w:color="auto"/>
        <w:bottom w:val="none" w:sz="0" w:space="0" w:color="auto"/>
        <w:right w:val="none" w:sz="0" w:space="0" w:color="auto"/>
      </w:divBdr>
    </w:div>
    <w:div w:id="838471792">
      <w:bodyDiv w:val="1"/>
      <w:marLeft w:val="0"/>
      <w:marRight w:val="0"/>
      <w:marTop w:val="0"/>
      <w:marBottom w:val="0"/>
      <w:divBdr>
        <w:top w:val="none" w:sz="0" w:space="0" w:color="auto"/>
        <w:left w:val="none" w:sz="0" w:space="0" w:color="auto"/>
        <w:bottom w:val="none" w:sz="0" w:space="0" w:color="auto"/>
        <w:right w:val="none" w:sz="0" w:space="0" w:color="auto"/>
      </w:divBdr>
    </w:div>
    <w:div w:id="980118944">
      <w:bodyDiv w:val="1"/>
      <w:marLeft w:val="0"/>
      <w:marRight w:val="0"/>
      <w:marTop w:val="0"/>
      <w:marBottom w:val="0"/>
      <w:divBdr>
        <w:top w:val="none" w:sz="0" w:space="0" w:color="auto"/>
        <w:left w:val="none" w:sz="0" w:space="0" w:color="auto"/>
        <w:bottom w:val="none" w:sz="0" w:space="0" w:color="auto"/>
        <w:right w:val="none" w:sz="0" w:space="0" w:color="auto"/>
      </w:divBdr>
    </w:div>
    <w:div w:id="1361395400">
      <w:bodyDiv w:val="1"/>
      <w:marLeft w:val="0"/>
      <w:marRight w:val="0"/>
      <w:marTop w:val="0"/>
      <w:marBottom w:val="0"/>
      <w:divBdr>
        <w:top w:val="none" w:sz="0" w:space="0" w:color="auto"/>
        <w:left w:val="none" w:sz="0" w:space="0" w:color="auto"/>
        <w:bottom w:val="none" w:sz="0" w:space="0" w:color="auto"/>
        <w:right w:val="none" w:sz="0" w:space="0" w:color="auto"/>
      </w:divBdr>
      <w:divsChild>
        <w:div w:id="35789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25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1584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035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1741719">
          <w:blockQuote w:val="1"/>
          <w:marLeft w:val="720"/>
          <w:marRight w:val="720"/>
          <w:marTop w:val="100"/>
          <w:marBottom w:val="100"/>
          <w:divBdr>
            <w:top w:val="none" w:sz="0" w:space="0" w:color="auto"/>
            <w:left w:val="none" w:sz="0" w:space="0" w:color="auto"/>
            <w:bottom w:val="none" w:sz="0" w:space="0" w:color="auto"/>
            <w:right w:val="none" w:sz="0" w:space="0" w:color="auto"/>
          </w:divBdr>
        </w:div>
        <w:div w:id="806554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79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8398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4965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7738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3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032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84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237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77098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994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6073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307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9526409">
      <w:bodyDiv w:val="1"/>
      <w:marLeft w:val="0"/>
      <w:marRight w:val="0"/>
      <w:marTop w:val="0"/>
      <w:marBottom w:val="0"/>
      <w:divBdr>
        <w:top w:val="none" w:sz="0" w:space="0" w:color="auto"/>
        <w:left w:val="none" w:sz="0" w:space="0" w:color="auto"/>
        <w:bottom w:val="none" w:sz="0" w:space="0" w:color="auto"/>
        <w:right w:val="none" w:sz="0" w:space="0" w:color="auto"/>
      </w:divBdr>
    </w:div>
    <w:div w:id="1641881944">
      <w:bodyDiv w:val="1"/>
      <w:marLeft w:val="0"/>
      <w:marRight w:val="0"/>
      <w:marTop w:val="0"/>
      <w:marBottom w:val="0"/>
      <w:divBdr>
        <w:top w:val="none" w:sz="0" w:space="0" w:color="auto"/>
        <w:left w:val="none" w:sz="0" w:space="0" w:color="auto"/>
        <w:bottom w:val="none" w:sz="0" w:space="0" w:color="auto"/>
        <w:right w:val="none" w:sz="0" w:space="0" w:color="auto"/>
      </w:divBdr>
    </w:div>
    <w:div w:id="1714230172">
      <w:bodyDiv w:val="1"/>
      <w:marLeft w:val="0"/>
      <w:marRight w:val="0"/>
      <w:marTop w:val="0"/>
      <w:marBottom w:val="0"/>
      <w:divBdr>
        <w:top w:val="none" w:sz="0" w:space="0" w:color="auto"/>
        <w:left w:val="none" w:sz="0" w:space="0" w:color="auto"/>
        <w:bottom w:val="none" w:sz="0" w:space="0" w:color="auto"/>
        <w:right w:val="none" w:sz="0" w:space="0" w:color="auto"/>
      </w:divBdr>
    </w:div>
    <w:div w:id="190895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pag.org.uk/welfare-rights/test-cases/refer-test-cas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pag.org.uk/welfare-rights/support-advisers/support-advisers-england-and-wales/support-upper-tribunal-cas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pag.org.uk/welfare-rights/test-cases/refer-test-cas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pag.org.uk/welfare-rights/support-advisers/support-advisers-england-and-wales/support-upper-tribunal-cas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hatdotheyknow.com/request/guidance_and_operational_instruc#incoming-313518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Word%20Templates\Tribunal%20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95143BE3AFE244BA8430A45F6507EC" ma:contentTypeVersion="18" ma:contentTypeDescription="Create a new document." ma:contentTypeScope="" ma:versionID="a2f669437336aebe6094fd2bc69edd40">
  <xsd:schema xmlns:xsd="http://www.w3.org/2001/XMLSchema" xmlns:xs="http://www.w3.org/2001/XMLSchema" xmlns:p="http://schemas.microsoft.com/office/2006/metadata/properties" xmlns:ns2="6e2bcfc7-025d-4f10-9223-180fc34b56d9" xmlns:ns3="73e1a587-7286-44c9-a1fe-3710516a651b" targetNamespace="http://schemas.microsoft.com/office/2006/metadata/properties" ma:root="true" ma:fieldsID="2c0fc024dba4f09b8066cce4118a631b" ns2:_="" ns3:_="">
    <xsd:import namespace="6e2bcfc7-025d-4f10-9223-180fc34b56d9"/>
    <xsd:import namespace="73e1a587-7286-44c9-a1fe-3710516a6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bcfc7-025d-4f10-9223-180fc34b5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db9d6e-4a40-4bb6-ba1f-8e96de9002b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e1a587-7286-44c9-a1fe-3710516a6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c99ed9-1a5f-44ea-a617-508aa7e7df9a}" ma:internalName="TaxCatchAll" ma:showField="CatchAllData" ma:web="73e1a587-7286-44c9-a1fe-3710516a6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e2bcfc7-025d-4f10-9223-180fc34b56d9">
      <Terms xmlns="http://schemas.microsoft.com/office/infopath/2007/PartnerControls"/>
    </lcf76f155ced4ddcb4097134ff3c332f>
    <TaxCatchAll xmlns="73e1a587-7286-44c9-a1fe-3710516a651b" xsi:nil="true"/>
  </documentManagement>
</p:properties>
</file>

<file path=customXml/itemProps1.xml><?xml version="1.0" encoding="utf-8"?>
<ds:datastoreItem xmlns:ds="http://schemas.openxmlformats.org/officeDocument/2006/customXml" ds:itemID="{26620CF5-1EB4-4A51-8DB0-72F91FE848F3}">
  <ds:schemaRefs>
    <ds:schemaRef ds:uri="http://schemas.microsoft.com/sharepoint/v3/contenttype/forms"/>
  </ds:schemaRefs>
</ds:datastoreItem>
</file>

<file path=customXml/itemProps2.xml><?xml version="1.0" encoding="utf-8"?>
<ds:datastoreItem xmlns:ds="http://schemas.openxmlformats.org/officeDocument/2006/customXml" ds:itemID="{2BF1DFDB-FB95-4A12-93D9-2460410C0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bcfc7-025d-4f10-9223-180fc34b56d9"/>
    <ds:schemaRef ds:uri="73e1a587-7286-44c9-a1fe-3710516a6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EAE8BA-5D66-497A-B8E8-49D0DE20BD37}">
  <ds:schemaRefs>
    <ds:schemaRef ds:uri="http://schemas.openxmlformats.org/officeDocument/2006/bibliography"/>
  </ds:schemaRefs>
</ds:datastoreItem>
</file>

<file path=customXml/itemProps4.xml><?xml version="1.0" encoding="utf-8"?>
<ds:datastoreItem xmlns:ds="http://schemas.openxmlformats.org/officeDocument/2006/customXml" ds:itemID="{1DD639B1-47D1-4C20-A63B-1A88A522C1DC}">
  <ds:schemaRefs>
    <ds:schemaRef ds:uri="http://schemas.microsoft.com/office/2006/metadata/longProperties"/>
  </ds:schemaRefs>
</ds:datastoreItem>
</file>

<file path=customXml/itemProps5.xml><?xml version="1.0" encoding="utf-8"?>
<ds:datastoreItem xmlns:ds="http://schemas.openxmlformats.org/officeDocument/2006/customXml" ds:itemID="{DA2D3F9F-640B-446E-A969-E514F38D9909}">
  <ds:schemaRefs>
    <ds:schemaRef ds:uri="http://schemas.microsoft.com/office/2006/metadata/properties"/>
    <ds:schemaRef ds:uri="http://schemas.microsoft.com/office/infopath/2007/PartnerControls"/>
    <ds:schemaRef ds:uri="6e2bcfc7-025d-4f10-9223-180fc34b56d9"/>
    <ds:schemaRef ds:uri="73e1a587-7286-44c9-a1fe-3710516a651b"/>
  </ds:schemaRefs>
</ds:datastoreItem>
</file>

<file path=docProps/app.xml><?xml version="1.0" encoding="utf-8"?>
<Properties xmlns="http://schemas.openxmlformats.org/officeDocument/2006/extended-properties" xmlns:vt="http://schemas.openxmlformats.org/officeDocument/2006/docPropsVTypes">
  <Template>Tribunal Submission.dotx</Template>
  <TotalTime>53</TotalTime>
  <Pages>11</Pages>
  <Words>2288</Words>
  <Characters>13047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APPLICATION FOR PERMISSION TO APPEAL AGAINST THE DECISION OF AN APPEAL TRIBUNAL</vt:lpstr>
    </vt:vector>
  </TitlesOfParts>
  <Company>Child Poverty Action Group</Company>
  <LinksUpToDate>false</LinksUpToDate>
  <CharactersWithSpaces>15305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PERMISSION TO APPEAL AGAINST THE DECISION OF AN APPEAL TRIBUNAL</dc:title>
  <dc:subject/>
  <dc:creator>Williams, Martin</dc:creator>
  <cp:keywords/>
  <cp:lastModifiedBy>Susan Mitchell</cp:lastModifiedBy>
  <cp:revision>3</cp:revision>
  <cp:lastPrinted>1901-01-02T00:00:00Z</cp:lastPrinted>
  <dcterms:created xsi:type="dcterms:W3CDTF">2025-09-02T10:59:00Z</dcterms:created>
  <dcterms:modified xsi:type="dcterms:W3CDTF">2025-09-02T14:42:00Z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Taran Admin</vt:lpwstr>
  </property>
  <property fmtid="{D5CDD505-2E9C-101B-9397-08002B2CF9AE}" pid="3" name="Order">
    <vt:lpwstr>2275000.00000000</vt:lpwstr>
  </property>
  <property fmtid="{D5CDD505-2E9C-101B-9397-08002B2CF9AE}" pid="4" name="display_urn:schemas-microsoft-com:office:office#Author">
    <vt:lpwstr>Taran Admin</vt:lpwstr>
  </property>
  <property fmtid="{D5CDD505-2E9C-101B-9397-08002B2CF9AE}" pid="5" name="lcf76f155ced4ddcb4097134ff3c332f">
    <vt:lpwstr/>
  </property>
  <property fmtid="{D5CDD505-2E9C-101B-9397-08002B2CF9AE}" pid="6" name="TaxCatchAll">
    <vt:lpwstr/>
  </property>
  <property fmtid="{D5CDD505-2E9C-101B-9397-08002B2CF9AE}" pid="7" name="MediaServiceImageTags">
    <vt:lpwstr/>
  </property>
  <property fmtid="{D5CDD505-2E9C-101B-9397-08002B2CF9AE}" pid="8" name="ContentTypeId">
    <vt:lpwstr>0x0101008595143BE3AFE244BA8430A45F6507EC</vt:lpwstr>
  </property>
</Properties>
</file>