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65875" w14:textId="49DE0E83" w:rsidR="00E45DBF" w:rsidRDefault="00E45DBF">
      <w:r w:rsidRPr="00B309E9">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66DF982C" wp14:editId="37624C47">
                <wp:simplePos x="0" y="0"/>
                <wp:positionH relativeFrom="column">
                  <wp:posOffset>-342900</wp:posOffset>
                </wp:positionH>
                <wp:positionV relativeFrom="paragraph">
                  <wp:posOffset>219075</wp:posOffset>
                </wp:positionV>
                <wp:extent cx="6103620" cy="2705100"/>
                <wp:effectExtent l="0" t="0" r="11430" b="19050"/>
                <wp:wrapSquare wrapText="bothSides"/>
                <wp:docPr id="605077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05100"/>
                        </a:xfrm>
                        <a:prstGeom prst="rect">
                          <a:avLst/>
                        </a:prstGeom>
                        <a:solidFill>
                          <a:srgbClr val="FFFFFF"/>
                        </a:solidFill>
                        <a:ln w="9525">
                          <a:solidFill>
                            <a:srgbClr val="000000"/>
                          </a:solidFill>
                          <a:miter lim="800000"/>
                          <a:headEnd/>
                          <a:tailEnd/>
                        </a:ln>
                      </wps:spPr>
                      <wps:txbx>
                        <w:txbxContent>
                          <w:p w14:paraId="60FFCD4E" w14:textId="77777777" w:rsidR="00E45DBF" w:rsidRPr="00EE6249" w:rsidRDefault="00E45DBF" w:rsidP="00E45DBF">
                            <w:pPr>
                              <w:rPr>
                                <w:rFonts w:ascii="Calibri Light" w:hAnsi="Calibri Light" w:cs="Calibri Light"/>
                                <w:b/>
                                <w:bCs/>
                              </w:rPr>
                            </w:pPr>
                            <w:r>
                              <w:rPr>
                                <w:rFonts w:ascii="Calibri Light" w:hAnsi="Calibri Light" w:cs="Calibri Light"/>
                                <w:b/>
                                <w:bCs/>
                              </w:rPr>
                              <w:t xml:space="preserve">Please read before </w:t>
                            </w:r>
                            <w:r w:rsidRPr="00EE6249">
                              <w:rPr>
                                <w:rFonts w:ascii="Calibri Light" w:hAnsi="Calibri Light" w:cs="Calibri Light"/>
                                <w:b/>
                                <w:bCs/>
                              </w:rPr>
                              <w:t>using this template:</w:t>
                            </w:r>
                          </w:p>
                          <w:p w14:paraId="445A01FB" w14:textId="30F573FE" w:rsidR="00E45DBF" w:rsidRDefault="00E45DBF" w:rsidP="00E45DBF">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 xml:space="preserve">Use this template </w:t>
                            </w:r>
                            <w:r>
                              <w:rPr>
                                <w:rFonts w:ascii="Calibri Light" w:hAnsi="Calibri Light" w:cs="Calibri Light"/>
                              </w:rPr>
                              <w:t>if</w:t>
                            </w:r>
                            <w:r w:rsidR="009013B6">
                              <w:rPr>
                                <w:rFonts w:ascii="Calibri Light" w:hAnsi="Calibri Light" w:cs="Calibri Light"/>
                              </w:rPr>
                              <w:t>:</w:t>
                            </w:r>
                          </w:p>
                          <w:p w14:paraId="43DBA6D6" w14:textId="7B3BA19F" w:rsidR="00E45DBF" w:rsidRDefault="00E45DBF" w:rsidP="009013B6">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 received Child Tax </w:t>
                            </w:r>
                            <w:r w:rsidR="009013B6">
                              <w:rPr>
                                <w:rFonts w:ascii="Calibri Light" w:hAnsi="Calibri Light" w:cs="Calibri Light"/>
                              </w:rPr>
                              <w:t>C</w:t>
                            </w:r>
                            <w:r>
                              <w:rPr>
                                <w:rFonts w:ascii="Calibri Light" w:hAnsi="Calibri Light" w:cs="Calibri Light"/>
                              </w:rPr>
                              <w:t xml:space="preserve">redit including an element for a Qualifying Young Person and has been migrated to Universal Credit (UC), and </w:t>
                            </w:r>
                          </w:p>
                          <w:p w14:paraId="50740665" w14:textId="14270A40" w:rsidR="00E45DBF" w:rsidRPr="00EE6249" w:rsidRDefault="00E45DBF" w:rsidP="009013B6">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they are receiving less in UC than they did in </w:t>
                            </w:r>
                            <w:r w:rsidR="009013B6">
                              <w:rPr>
                                <w:rFonts w:ascii="Calibri Light" w:hAnsi="Calibri Light" w:cs="Calibri Light"/>
                              </w:rPr>
                              <w:t xml:space="preserve">legacy </w:t>
                            </w:r>
                            <w:r>
                              <w:rPr>
                                <w:rFonts w:ascii="Calibri Light" w:hAnsi="Calibri Light" w:cs="Calibri Light"/>
                              </w:rPr>
                              <w:t>benefits before migrat</w:t>
                            </w:r>
                            <w:r w:rsidR="009013B6">
                              <w:rPr>
                                <w:rFonts w:ascii="Calibri Light" w:hAnsi="Calibri Light" w:cs="Calibri Light"/>
                              </w:rPr>
                              <w:t>ion</w:t>
                            </w:r>
                            <w:r>
                              <w:rPr>
                                <w:rFonts w:ascii="Calibri Light" w:hAnsi="Calibri Light" w:cs="Calibri Light"/>
                              </w:rPr>
                              <w:t xml:space="preserve"> because their child does not count as a Qualifying Young Person for UC</w:t>
                            </w:r>
                            <w:r w:rsidR="009013B6">
                              <w:rPr>
                                <w:rFonts w:ascii="Calibri Light" w:hAnsi="Calibri Light" w:cs="Calibri Light"/>
                              </w:rPr>
                              <w:t xml:space="preserve"> (and their UC transitional element does not account for this)</w:t>
                            </w:r>
                            <w:r>
                              <w:rPr>
                                <w:rFonts w:ascii="Calibri Light" w:hAnsi="Calibri Light" w:cs="Calibri Light"/>
                              </w:rPr>
                              <w:t xml:space="preserve">. </w:t>
                            </w:r>
                          </w:p>
                          <w:p w14:paraId="0E264176" w14:textId="77777777" w:rsidR="00E45DBF" w:rsidRPr="00EE6249" w:rsidRDefault="00E45DBF" w:rsidP="00E45DBF">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To complete this template</w:t>
                            </w:r>
                            <w:r>
                              <w:rPr>
                                <w:rFonts w:ascii="Calibri Light" w:hAnsi="Calibri Light" w:cs="Calibri Light"/>
                              </w:rPr>
                              <w:t>,</w:t>
                            </w:r>
                            <w:r w:rsidRPr="00EE6249">
                              <w:rPr>
                                <w:rFonts w:ascii="Calibri Light" w:hAnsi="Calibri Light" w:cs="Calibri Light"/>
                              </w:rPr>
                              <w:t xml:space="preserve"> replace any [</w:t>
                            </w:r>
                            <w:r w:rsidRPr="00EE6249">
                              <w:rPr>
                                <w:rFonts w:ascii="Calibri Light" w:hAnsi="Calibri Light" w:cs="Calibri Light"/>
                                <w:b/>
                                <w:bCs/>
                              </w:rPr>
                              <w:t>text in square brackets</w:t>
                            </w:r>
                            <w:r w:rsidRPr="00EE6249">
                              <w:rPr>
                                <w:rFonts w:ascii="Calibri Light" w:hAnsi="Calibri Light" w:cs="Calibri Light"/>
                              </w:rPr>
                              <w:t>]</w:t>
                            </w:r>
                            <w:r w:rsidRPr="00EE6249">
                              <w:rPr>
                                <w:rFonts w:ascii="Calibri Light" w:hAnsi="Calibri Light" w:cs="Calibri Light"/>
                                <w:b/>
                                <w:bCs/>
                              </w:rPr>
                              <w:t xml:space="preserve"> </w:t>
                            </w:r>
                            <w:r w:rsidRPr="00EE6249">
                              <w:rPr>
                                <w:rFonts w:ascii="Calibri Light" w:hAnsi="Calibri Light" w:cs="Calibri Light"/>
                              </w:rPr>
                              <w:t>then return that text to not bold</w:t>
                            </w:r>
                            <w:r>
                              <w:rPr>
                                <w:rFonts w:ascii="Calibri Light" w:hAnsi="Calibri Light" w:cs="Calibri Light"/>
                              </w:rPr>
                              <w:t xml:space="preserve"> without brackets</w:t>
                            </w:r>
                            <w:r w:rsidRPr="00EE6249">
                              <w:rPr>
                                <w:rFonts w:ascii="Calibri Light" w:hAnsi="Calibri Light" w:cs="Calibri Light"/>
                              </w:rPr>
                              <w:t xml:space="preserve">.  </w:t>
                            </w:r>
                          </w:p>
                          <w:p w14:paraId="6CAA0D81" w14:textId="77777777" w:rsidR="00E45DBF" w:rsidRPr="00EE6249" w:rsidRDefault="00E45DBF" w:rsidP="00E45DBF">
                            <w:pPr>
                              <w:pStyle w:val="ListParagraph"/>
                              <w:numPr>
                                <w:ilvl w:val="0"/>
                                <w:numId w:val="9"/>
                              </w:numPr>
                              <w:spacing w:after="160" w:line="259" w:lineRule="auto"/>
                              <w:rPr>
                                <w:rFonts w:ascii="Calibri Light" w:hAnsi="Calibri Light" w:cs="Calibri Light"/>
                                <w:b/>
                                <w:bCs/>
                              </w:rPr>
                            </w:pPr>
                            <w:r w:rsidRPr="00EE6249">
                              <w:rPr>
                                <w:rFonts w:ascii="Calibri Light" w:hAnsi="Calibri Light" w:cs="Calibri Light"/>
                              </w:rPr>
                              <w:t xml:space="preserve">Consider, address and then delete all prompts before posting. </w:t>
                            </w:r>
                            <w:r>
                              <w:rPr>
                                <w:rFonts w:ascii="Calibri Light" w:hAnsi="Calibri Light" w:cs="Calibri Light"/>
                              </w:rPr>
                              <w:t xml:space="preserve">If you have deleted paragraphs that do not apply in your case, check numbering is still sequential. </w:t>
                            </w:r>
                          </w:p>
                          <w:p w14:paraId="52D4EC32" w14:textId="77777777" w:rsidR="00E45DBF" w:rsidRPr="00D26BCB" w:rsidRDefault="00E45DBF" w:rsidP="00E45DBF">
                            <w:pPr>
                              <w:rPr>
                                <w:rFonts w:ascii="Calibri Light" w:hAnsi="Calibri Light" w:cs="Calibri Light"/>
                                <w:b/>
                                <w:bCs/>
                                <w:color w:val="FF0000"/>
                              </w:rPr>
                            </w:pPr>
                            <w:r w:rsidRPr="00D26BCB">
                              <w:rPr>
                                <w:rFonts w:ascii="Calibri Light" w:hAnsi="Calibri Light" w:cs="Calibri Light"/>
                                <w:b/>
                                <w:bCs/>
                                <w:color w:val="FF0000"/>
                              </w:rPr>
                              <w:t xml:space="preserve">Delete box before posting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F982C" id="_x0000_t202" coordsize="21600,21600" o:spt="202" path="m,l,21600r21600,l21600,xe">
                <v:stroke joinstyle="miter"/>
                <v:path gradientshapeok="t" o:connecttype="rect"/>
              </v:shapetype>
              <v:shape id="Text Box 1" o:spid="_x0000_s1026" type="#_x0000_t202" style="position:absolute;margin-left:-27pt;margin-top:17.25pt;width:480.6pt;height:2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">
                <v:textbox>
                  <w:txbxContent>
                    <w:p w14:paraId="60FFCD4E" w14:textId="77777777" w:rsidR="00E45DBF" w:rsidRPr="00EE6249" w:rsidRDefault="00E45DBF" w:rsidP="00E45DBF">
                      <w:pPr>
                        <w:rPr>
                          <w:rFonts w:ascii="Calibri Light" w:hAnsi="Calibri Light" w:cs="Calibri Light"/>
                          <w:b/>
                          <w:bCs/>
                        </w:rPr>
                      </w:pPr>
                      <w:r>
                        <w:rPr>
                          <w:rFonts w:ascii="Calibri Light" w:hAnsi="Calibri Light" w:cs="Calibri Light"/>
                          <w:b/>
                          <w:bCs/>
                        </w:rPr>
                        <w:t xml:space="preserve">Please read before </w:t>
                      </w:r>
                      <w:r w:rsidRPr="00EE6249">
                        <w:rPr>
                          <w:rFonts w:ascii="Calibri Light" w:hAnsi="Calibri Light" w:cs="Calibri Light"/>
                          <w:b/>
                          <w:bCs/>
                        </w:rPr>
                        <w:t>using this template:</w:t>
                      </w:r>
                    </w:p>
                    <w:p w14:paraId="445A01FB" w14:textId="30F573FE" w:rsidR="00E45DBF" w:rsidRDefault="00E45DBF" w:rsidP="00E45DBF">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 xml:space="preserve">Use this template </w:t>
                      </w:r>
                      <w:r>
                        <w:rPr>
                          <w:rFonts w:ascii="Calibri Light" w:hAnsi="Calibri Light" w:cs="Calibri Light"/>
                        </w:rPr>
                        <w:t>if</w:t>
                      </w:r>
                      <w:r w:rsidR="009013B6">
                        <w:rPr>
                          <w:rFonts w:ascii="Calibri Light" w:hAnsi="Calibri Light" w:cs="Calibri Light"/>
                        </w:rPr>
                        <w:t>:</w:t>
                      </w:r>
                    </w:p>
                    <w:p w14:paraId="43DBA6D6" w14:textId="7B3BA19F" w:rsidR="00E45DBF" w:rsidRDefault="00E45DBF" w:rsidP="009013B6">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your client received Child Tax </w:t>
                      </w:r>
                      <w:r w:rsidR="009013B6">
                        <w:rPr>
                          <w:rFonts w:ascii="Calibri Light" w:hAnsi="Calibri Light" w:cs="Calibri Light"/>
                        </w:rPr>
                        <w:t>C</w:t>
                      </w:r>
                      <w:r>
                        <w:rPr>
                          <w:rFonts w:ascii="Calibri Light" w:hAnsi="Calibri Light" w:cs="Calibri Light"/>
                        </w:rPr>
                        <w:t xml:space="preserve">redit including an element for a Qualifying Young Person and has been migrated to Universal Credit (UC), and </w:t>
                      </w:r>
                    </w:p>
                    <w:p w14:paraId="50740665" w14:textId="14270A40" w:rsidR="00E45DBF" w:rsidRPr="00EE6249" w:rsidRDefault="00E45DBF" w:rsidP="009013B6">
                      <w:pPr>
                        <w:pStyle w:val="ListParagraph"/>
                        <w:numPr>
                          <w:ilvl w:val="1"/>
                          <w:numId w:val="9"/>
                        </w:numPr>
                        <w:spacing w:after="160" w:line="259" w:lineRule="auto"/>
                        <w:rPr>
                          <w:rFonts w:ascii="Calibri Light" w:hAnsi="Calibri Light" w:cs="Calibri Light"/>
                        </w:rPr>
                      </w:pPr>
                      <w:r>
                        <w:rPr>
                          <w:rFonts w:ascii="Calibri Light" w:hAnsi="Calibri Light" w:cs="Calibri Light"/>
                        </w:rPr>
                        <w:t xml:space="preserve">they are receiving less in UC than they did in </w:t>
                      </w:r>
                      <w:r w:rsidR="009013B6">
                        <w:rPr>
                          <w:rFonts w:ascii="Calibri Light" w:hAnsi="Calibri Light" w:cs="Calibri Light"/>
                        </w:rPr>
                        <w:t xml:space="preserve">legacy </w:t>
                      </w:r>
                      <w:r>
                        <w:rPr>
                          <w:rFonts w:ascii="Calibri Light" w:hAnsi="Calibri Light" w:cs="Calibri Light"/>
                        </w:rPr>
                        <w:t>benefits before migrat</w:t>
                      </w:r>
                      <w:r w:rsidR="009013B6">
                        <w:rPr>
                          <w:rFonts w:ascii="Calibri Light" w:hAnsi="Calibri Light" w:cs="Calibri Light"/>
                        </w:rPr>
                        <w:t>ion</w:t>
                      </w:r>
                      <w:r>
                        <w:rPr>
                          <w:rFonts w:ascii="Calibri Light" w:hAnsi="Calibri Light" w:cs="Calibri Light"/>
                        </w:rPr>
                        <w:t xml:space="preserve"> because their child does not count as a </w:t>
                      </w:r>
                      <w:r>
                        <w:rPr>
                          <w:rFonts w:ascii="Calibri Light" w:hAnsi="Calibri Light" w:cs="Calibri Light"/>
                        </w:rPr>
                        <w:t>Qualifying Young Person</w:t>
                      </w:r>
                      <w:r>
                        <w:rPr>
                          <w:rFonts w:ascii="Calibri Light" w:hAnsi="Calibri Light" w:cs="Calibri Light"/>
                        </w:rPr>
                        <w:t xml:space="preserve"> for UC</w:t>
                      </w:r>
                      <w:r w:rsidR="009013B6">
                        <w:rPr>
                          <w:rFonts w:ascii="Calibri Light" w:hAnsi="Calibri Light" w:cs="Calibri Light"/>
                        </w:rPr>
                        <w:t xml:space="preserve"> (and their UC transitional element does not account for this)</w:t>
                      </w:r>
                      <w:r>
                        <w:rPr>
                          <w:rFonts w:ascii="Calibri Light" w:hAnsi="Calibri Light" w:cs="Calibri Light"/>
                        </w:rPr>
                        <w:t xml:space="preserve">. </w:t>
                      </w:r>
                    </w:p>
                    <w:p w14:paraId="0E264176" w14:textId="77777777" w:rsidR="00E45DBF" w:rsidRPr="00EE6249" w:rsidRDefault="00E45DBF" w:rsidP="00E45DBF">
                      <w:pPr>
                        <w:pStyle w:val="ListParagraph"/>
                        <w:numPr>
                          <w:ilvl w:val="0"/>
                          <w:numId w:val="9"/>
                        </w:numPr>
                        <w:spacing w:after="160" w:line="259" w:lineRule="auto"/>
                        <w:rPr>
                          <w:rFonts w:ascii="Calibri Light" w:hAnsi="Calibri Light" w:cs="Calibri Light"/>
                        </w:rPr>
                      </w:pPr>
                      <w:r w:rsidRPr="00EE6249">
                        <w:rPr>
                          <w:rFonts w:ascii="Calibri Light" w:hAnsi="Calibri Light" w:cs="Calibri Light"/>
                        </w:rPr>
                        <w:t>To complete this template</w:t>
                      </w:r>
                      <w:r>
                        <w:rPr>
                          <w:rFonts w:ascii="Calibri Light" w:hAnsi="Calibri Light" w:cs="Calibri Light"/>
                        </w:rPr>
                        <w:t>,</w:t>
                      </w:r>
                      <w:r w:rsidRPr="00EE6249">
                        <w:rPr>
                          <w:rFonts w:ascii="Calibri Light" w:hAnsi="Calibri Light" w:cs="Calibri Light"/>
                        </w:rPr>
                        <w:t xml:space="preserve"> replace any [</w:t>
                      </w:r>
                      <w:r w:rsidRPr="00EE6249">
                        <w:rPr>
                          <w:rFonts w:ascii="Calibri Light" w:hAnsi="Calibri Light" w:cs="Calibri Light"/>
                          <w:b/>
                          <w:bCs/>
                        </w:rPr>
                        <w:t>text in square brackets</w:t>
                      </w:r>
                      <w:r w:rsidRPr="00EE6249">
                        <w:rPr>
                          <w:rFonts w:ascii="Calibri Light" w:hAnsi="Calibri Light" w:cs="Calibri Light"/>
                        </w:rPr>
                        <w:t>]</w:t>
                      </w:r>
                      <w:r w:rsidRPr="00EE6249">
                        <w:rPr>
                          <w:rFonts w:ascii="Calibri Light" w:hAnsi="Calibri Light" w:cs="Calibri Light"/>
                          <w:b/>
                          <w:bCs/>
                        </w:rPr>
                        <w:t xml:space="preserve"> </w:t>
                      </w:r>
                      <w:r w:rsidRPr="00EE6249">
                        <w:rPr>
                          <w:rFonts w:ascii="Calibri Light" w:hAnsi="Calibri Light" w:cs="Calibri Light"/>
                        </w:rPr>
                        <w:t>then return that text to not bold</w:t>
                      </w:r>
                      <w:r>
                        <w:rPr>
                          <w:rFonts w:ascii="Calibri Light" w:hAnsi="Calibri Light" w:cs="Calibri Light"/>
                        </w:rPr>
                        <w:t xml:space="preserve"> without brackets</w:t>
                      </w:r>
                      <w:r w:rsidRPr="00EE6249">
                        <w:rPr>
                          <w:rFonts w:ascii="Calibri Light" w:hAnsi="Calibri Light" w:cs="Calibri Light"/>
                        </w:rPr>
                        <w:t xml:space="preserve">.  </w:t>
                      </w:r>
                    </w:p>
                    <w:p w14:paraId="6CAA0D81" w14:textId="77777777" w:rsidR="00E45DBF" w:rsidRPr="00EE6249" w:rsidRDefault="00E45DBF" w:rsidP="00E45DBF">
                      <w:pPr>
                        <w:pStyle w:val="ListParagraph"/>
                        <w:numPr>
                          <w:ilvl w:val="0"/>
                          <w:numId w:val="9"/>
                        </w:numPr>
                        <w:spacing w:after="160" w:line="259" w:lineRule="auto"/>
                        <w:rPr>
                          <w:rFonts w:ascii="Calibri Light" w:hAnsi="Calibri Light" w:cs="Calibri Light"/>
                          <w:b/>
                          <w:bCs/>
                        </w:rPr>
                      </w:pPr>
                      <w:r w:rsidRPr="00EE6249">
                        <w:rPr>
                          <w:rFonts w:ascii="Calibri Light" w:hAnsi="Calibri Light" w:cs="Calibri Light"/>
                        </w:rPr>
                        <w:t xml:space="preserve">Consider, address and then delete all prompts before posting. </w:t>
                      </w:r>
                      <w:r>
                        <w:rPr>
                          <w:rFonts w:ascii="Calibri Light" w:hAnsi="Calibri Light" w:cs="Calibri Light"/>
                        </w:rPr>
                        <w:t xml:space="preserve">If you have deleted paragraphs that do not apply in your case, check numbering is still sequential. </w:t>
                      </w:r>
                    </w:p>
                    <w:p w14:paraId="52D4EC32" w14:textId="77777777" w:rsidR="00E45DBF" w:rsidRPr="00D26BCB" w:rsidRDefault="00E45DBF" w:rsidP="00E45DBF">
                      <w:pPr>
                        <w:rPr>
                          <w:rFonts w:ascii="Calibri Light" w:hAnsi="Calibri Light" w:cs="Calibri Light"/>
                          <w:b/>
                          <w:bCs/>
                          <w:color w:val="FF0000"/>
                        </w:rPr>
                      </w:pPr>
                      <w:r w:rsidRPr="00D26BCB">
                        <w:rPr>
                          <w:rFonts w:ascii="Calibri Light" w:hAnsi="Calibri Light" w:cs="Calibri Light"/>
                          <w:b/>
                          <w:bCs/>
                          <w:color w:val="FF0000"/>
                        </w:rPr>
                        <w:t xml:space="preserve">Delete box before </w:t>
                      </w:r>
                      <w:proofErr w:type="gramStart"/>
                      <w:r w:rsidRPr="00D26BCB">
                        <w:rPr>
                          <w:rFonts w:ascii="Calibri Light" w:hAnsi="Calibri Light" w:cs="Calibri Light"/>
                          <w:b/>
                          <w:bCs/>
                          <w:color w:val="FF0000"/>
                        </w:rPr>
                        <w:t>posting</w:t>
                      </w:r>
                      <w:proofErr w:type="gramEnd"/>
                      <w:r w:rsidRPr="00D26BCB">
                        <w:rPr>
                          <w:rFonts w:ascii="Calibri Light" w:hAnsi="Calibri Light" w:cs="Calibri Light"/>
                          <w:b/>
                          <w:bCs/>
                          <w:color w:val="FF0000"/>
                        </w:rPr>
                        <w:t xml:space="preserve"> </w:t>
                      </w:r>
                    </w:p>
                  </w:txbxContent>
                </v:textbox>
                <w10:wrap type="square"/>
              </v:shape>
            </w:pict>
          </mc:Fallback>
        </mc:AlternateContent>
      </w:r>
    </w:p>
    <w:p w14:paraId="5709BE12" w14:textId="77777777" w:rsidR="00E45DBF" w:rsidRDefault="00E45DBF"/>
    <w:tbl>
      <w:tblPr>
        <w:tblW w:w="9108" w:type="dxa"/>
        <w:tblLook w:val="01E0" w:firstRow="1" w:lastRow="1" w:firstColumn="1" w:lastColumn="1" w:noHBand="0" w:noVBand="0"/>
      </w:tblPr>
      <w:tblGrid>
        <w:gridCol w:w="5211"/>
        <w:gridCol w:w="3897"/>
      </w:tblGrid>
      <w:tr w:rsidR="00603545" w:rsidRPr="00CD1EE5" w14:paraId="507753D4" w14:textId="77777777" w:rsidTr="00773FE7">
        <w:tc>
          <w:tcPr>
            <w:tcW w:w="5211" w:type="dxa"/>
            <w:shd w:val="clear" w:color="auto" w:fill="auto"/>
          </w:tcPr>
          <w:p w14:paraId="407619C7" w14:textId="77777777" w:rsidR="00603545" w:rsidRPr="00CD1EE5" w:rsidRDefault="00603545" w:rsidP="00773FE7">
            <w:pPr>
              <w:spacing w:before="120"/>
              <w:rPr>
                <w:rFonts w:ascii="Calibri Light" w:hAnsi="Calibri Light" w:cs="Calibri"/>
                <w:b/>
              </w:rPr>
            </w:pPr>
            <w:r w:rsidRPr="00CD1EE5">
              <w:rPr>
                <w:rFonts w:ascii="Calibri Light" w:hAnsi="Calibri Light" w:cs="Calibri"/>
                <w:b/>
              </w:rPr>
              <w:t xml:space="preserve">First-tier Tribunal </w:t>
            </w:r>
            <w:r w:rsidR="00FD7061">
              <w:rPr>
                <w:rFonts w:ascii="Calibri Light" w:hAnsi="Calibri Light" w:cs="Calibri"/>
                <w:b/>
              </w:rPr>
              <w:br/>
            </w:r>
            <w:r w:rsidRPr="00CD1EE5">
              <w:rPr>
                <w:rFonts w:ascii="Calibri Light" w:hAnsi="Calibri Light" w:cs="Calibri"/>
                <w:b/>
              </w:rPr>
              <w:t>(Social Entitlement Chamber)</w:t>
            </w:r>
          </w:p>
          <w:p w14:paraId="672A6659" w14:textId="77777777" w:rsidR="00603545" w:rsidRPr="00CD1EE5" w:rsidRDefault="00603545" w:rsidP="00773FE7">
            <w:pPr>
              <w:spacing w:before="120"/>
              <w:rPr>
                <w:rFonts w:ascii="Calibri Light" w:hAnsi="Calibri Light" w:cs="Calibri"/>
                <w:b/>
                <w:sz w:val="28"/>
                <w:szCs w:val="28"/>
              </w:rPr>
            </w:pPr>
          </w:p>
          <w:p w14:paraId="0A37501D" w14:textId="77777777" w:rsidR="00603545" w:rsidRPr="00CD1EE5" w:rsidRDefault="00603545" w:rsidP="00773FE7">
            <w:pPr>
              <w:spacing w:before="120"/>
              <w:rPr>
                <w:rFonts w:ascii="Calibri Light" w:hAnsi="Calibri Light" w:cs="Calibri"/>
                <w:b/>
                <w:sz w:val="28"/>
                <w:szCs w:val="28"/>
              </w:rPr>
            </w:pPr>
          </w:p>
        </w:tc>
        <w:tc>
          <w:tcPr>
            <w:tcW w:w="3897" w:type="dxa"/>
            <w:shd w:val="clear" w:color="auto" w:fill="auto"/>
          </w:tcPr>
          <w:p w14:paraId="1F61FE4D" w14:textId="77777777" w:rsidR="00603545" w:rsidRPr="00CD1EE5" w:rsidRDefault="00603545" w:rsidP="00206FB7">
            <w:pPr>
              <w:spacing w:before="120"/>
              <w:jc w:val="right"/>
              <w:rPr>
                <w:rFonts w:ascii="Calibri Light" w:hAnsi="Calibri Light" w:cs="Calibri"/>
                <w:b/>
              </w:rPr>
            </w:pPr>
            <w:r w:rsidRPr="00CD1EE5">
              <w:rPr>
                <w:rFonts w:ascii="Calibri Light" w:hAnsi="Calibri Light" w:cs="Calibri"/>
                <w:b/>
              </w:rPr>
              <w:t xml:space="preserve">Tribunal Ref: </w:t>
            </w:r>
            <w:r>
              <w:rPr>
                <w:rFonts w:ascii="Calibri Light" w:hAnsi="Calibri Light" w:cs="Calibri"/>
                <w:b/>
              </w:rPr>
              <w:t>[REFERENCE]</w:t>
            </w:r>
          </w:p>
        </w:tc>
      </w:tr>
    </w:tbl>
    <w:p w14:paraId="0A525EEF" w14:textId="77777777" w:rsidR="005F13A7" w:rsidRPr="00CD1EE5" w:rsidRDefault="006E5D8E" w:rsidP="006E5D8E">
      <w:pPr>
        <w:spacing w:before="120"/>
        <w:rPr>
          <w:rFonts w:ascii="Calibri Light" w:hAnsi="Calibri Light" w:cs="Calibri"/>
          <w:b/>
          <w:sz w:val="28"/>
          <w:szCs w:val="28"/>
        </w:rPr>
      </w:pPr>
      <w:r w:rsidRPr="00CD1EE5">
        <w:rPr>
          <w:rFonts w:ascii="Calibri Light" w:hAnsi="Calibri Light" w:cs="Calibri"/>
          <w:b/>
          <w:sz w:val="28"/>
          <w:szCs w:val="28"/>
        </w:rPr>
        <w:t>BETWEEN</w:t>
      </w:r>
    </w:p>
    <w:tbl>
      <w:tblPr>
        <w:tblW w:w="7740" w:type="dxa"/>
        <w:tblInd w:w="1368" w:type="dxa"/>
        <w:tblLook w:val="01E0" w:firstRow="1" w:lastRow="1" w:firstColumn="1" w:lastColumn="1" w:noHBand="0" w:noVBand="0"/>
      </w:tblPr>
      <w:tblGrid>
        <w:gridCol w:w="5906"/>
        <w:gridCol w:w="1834"/>
      </w:tblGrid>
      <w:tr w:rsidR="006E5D8E" w:rsidRPr="00CD1EE5" w14:paraId="65D1BD1C" w14:textId="77777777" w:rsidTr="002209F7">
        <w:tc>
          <w:tcPr>
            <w:tcW w:w="5906" w:type="dxa"/>
            <w:shd w:val="clear" w:color="auto" w:fill="auto"/>
          </w:tcPr>
          <w:p w14:paraId="320A4471" w14:textId="77777777" w:rsidR="006E5D8E" w:rsidRPr="00CD1EE5" w:rsidRDefault="003A6452" w:rsidP="003A6452">
            <w:pPr>
              <w:spacing w:before="360"/>
              <w:jc w:val="center"/>
              <w:rPr>
                <w:rFonts w:ascii="Calibri Light" w:hAnsi="Calibri Light" w:cs="Calibri"/>
                <w:b/>
                <w:sz w:val="28"/>
                <w:szCs w:val="28"/>
              </w:rPr>
            </w:pPr>
            <w:r>
              <w:rPr>
                <w:rFonts w:ascii="Calibri Light" w:hAnsi="Calibri Light" w:cs="Calibri"/>
                <w:b/>
                <w:sz w:val="28"/>
                <w:szCs w:val="28"/>
              </w:rPr>
              <w:t>[NAME]</w:t>
            </w:r>
          </w:p>
        </w:tc>
        <w:tc>
          <w:tcPr>
            <w:tcW w:w="1834" w:type="dxa"/>
            <w:shd w:val="clear" w:color="auto" w:fill="auto"/>
          </w:tcPr>
          <w:p w14:paraId="229A0086" w14:textId="77777777" w:rsidR="006E5D8E" w:rsidRPr="00CD1EE5" w:rsidRDefault="006E5D8E" w:rsidP="002209F7">
            <w:pPr>
              <w:spacing w:before="360"/>
              <w:jc w:val="center"/>
              <w:rPr>
                <w:rFonts w:ascii="Calibri Light" w:hAnsi="Calibri Light" w:cs="Calibri"/>
                <w:b/>
                <w:sz w:val="28"/>
                <w:szCs w:val="28"/>
                <w:u w:val="single"/>
              </w:rPr>
            </w:pPr>
            <w:r w:rsidRPr="00CD1EE5">
              <w:rPr>
                <w:rFonts w:ascii="Calibri Light" w:hAnsi="Calibri Light" w:cs="Calibri"/>
                <w:b/>
                <w:sz w:val="28"/>
                <w:szCs w:val="28"/>
                <w:u w:val="single"/>
              </w:rPr>
              <w:t>Appellant</w:t>
            </w:r>
          </w:p>
        </w:tc>
      </w:tr>
      <w:tr w:rsidR="006E5D8E" w:rsidRPr="00CD1EE5" w14:paraId="41FC16D6" w14:textId="77777777" w:rsidTr="002209F7">
        <w:tc>
          <w:tcPr>
            <w:tcW w:w="5906" w:type="dxa"/>
            <w:shd w:val="clear" w:color="auto" w:fill="auto"/>
          </w:tcPr>
          <w:p w14:paraId="56B385A7" w14:textId="77777777" w:rsidR="006E5D8E" w:rsidRPr="00CD1EE5" w:rsidRDefault="006E5D8E" w:rsidP="002209F7">
            <w:pPr>
              <w:spacing w:before="360"/>
              <w:jc w:val="center"/>
              <w:rPr>
                <w:rFonts w:ascii="Calibri Light" w:hAnsi="Calibri Light" w:cs="Calibri"/>
                <w:b/>
                <w:sz w:val="28"/>
                <w:szCs w:val="28"/>
              </w:rPr>
            </w:pPr>
            <w:r w:rsidRPr="00CD1EE5">
              <w:rPr>
                <w:rFonts w:ascii="Calibri Light" w:hAnsi="Calibri Light" w:cs="Calibri"/>
                <w:b/>
                <w:sz w:val="28"/>
                <w:szCs w:val="28"/>
              </w:rPr>
              <w:t>-and-</w:t>
            </w:r>
          </w:p>
        </w:tc>
        <w:tc>
          <w:tcPr>
            <w:tcW w:w="1834" w:type="dxa"/>
            <w:shd w:val="clear" w:color="auto" w:fill="auto"/>
          </w:tcPr>
          <w:p w14:paraId="5DAB6C7B" w14:textId="77777777" w:rsidR="006E5D8E" w:rsidRPr="00CD1EE5" w:rsidRDefault="006E5D8E" w:rsidP="002209F7">
            <w:pPr>
              <w:spacing w:before="360"/>
              <w:jc w:val="center"/>
              <w:rPr>
                <w:rFonts w:ascii="Calibri Light" w:hAnsi="Calibri Light" w:cs="Calibri"/>
                <w:b/>
                <w:sz w:val="28"/>
                <w:szCs w:val="28"/>
              </w:rPr>
            </w:pPr>
          </w:p>
        </w:tc>
      </w:tr>
      <w:tr w:rsidR="006E5D8E" w:rsidRPr="00CD1EE5" w14:paraId="6BB483BD" w14:textId="77777777" w:rsidTr="002209F7">
        <w:tc>
          <w:tcPr>
            <w:tcW w:w="5906" w:type="dxa"/>
            <w:shd w:val="clear" w:color="auto" w:fill="auto"/>
          </w:tcPr>
          <w:p w14:paraId="0DB9A41C" w14:textId="77777777" w:rsidR="006E5D8E" w:rsidRPr="00CD1EE5" w:rsidRDefault="006E5D8E" w:rsidP="002209F7">
            <w:pPr>
              <w:spacing w:before="360"/>
              <w:jc w:val="center"/>
              <w:rPr>
                <w:rFonts w:ascii="Calibri Light" w:hAnsi="Calibri Light" w:cs="Calibri"/>
                <w:b/>
                <w:sz w:val="28"/>
                <w:szCs w:val="28"/>
              </w:rPr>
            </w:pPr>
            <w:r w:rsidRPr="00CD1EE5">
              <w:rPr>
                <w:rFonts w:ascii="Calibri Light" w:hAnsi="Calibri Light" w:cs="Calibri"/>
                <w:b/>
                <w:sz w:val="28"/>
                <w:szCs w:val="28"/>
              </w:rPr>
              <w:t>Secretary of State for Work and Pensions</w:t>
            </w:r>
          </w:p>
        </w:tc>
        <w:tc>
          <w:tcPr>
            <w:tcW w:w="1834" w:type="dxa"/>
            <w:shd w:val="clear" w:color="auto" w:fill="auto"/>
          </w:tcPr>
          <w:p w14:paraId="451F7B67" w14:textId="77777777" w:rsidR="006E5D8E" w:rsidRPr="00CD1EE5" w:rsidRDefault="006E5D8E" w:rsidP="002209F7">
            <w:pPr>
              <w:spacing w:before="360"/>
              <w:jc w:val="center"/>
              <w:rPr>
                <w:rFonts w:ascii="Calibri Light" w:hAnsi="Calibri Light" w:cs="Calibri"/>
                <w:b/>
                <w:sz w:val="28"/>
                <w:szCs w:val="28"/>
                <w:u w:val="single"/>
              </w:rPr>
            </w:pPr>
            <w:r w:rsidRPr="00CD1EE5">
              <w:rPr>
                <w:rFonts w:ascii="Calibri Light" w:hAnsi="Calibri Light" w:cs="Calibri"/>
                <w:b/>
                <w:sz w:val="28"/>
                <w:szCs w:val="28"/>
                <w:u w:val="single"/>
              </w:rPr>
              <w:t>Respondent</w:t>
            </w:r>
          </w:p>
        </w:tc>
      </w:tr>
    </w:tbl>
    <w:p w14:paraId="4361A6AD" w14:textId="77777777" w:rsidR="00B85333" w:rsidRPr="00CD1EE5" w:rsidRDefault="00B85333" w:rsidP="00B85333">
      <w:pPr>
        <w:spacing w:before="120"/>
        <w:jc w:val="center"/>
        <w:rPr>
          <w:rFonts w:ascii="Calibri Light" w:hAnsi="Calibri Light" w:cs="Calibri"/>
          <w:sz w:val="28"/>
          <w:szCs w:val="28"/>
        </w:rPr>
      </w:pPr>
      <w:r w:rsidRPr="00CD1EE5">
        <w:rPr>
          <w:rFonts w:ascii="Calibri Light" w:hAnsi="Calibri Light" w:cs="Calibri"/>
          <w:sz w:val="28"/>
          <w:szCs w:val="28"/>
        </w:rPr>
        <w:t>_______________</w:t>
      </w:r>
    </w:p>
    <w:p w14:paraId="02EB378F" w14:textId="77777777" w:rsidR="00B85333" w:rsidRPr="00CD1EE5" w:rsidRDefault="00B85333" w:rsidP="00603545">
      <w:pPr>
        <w:jc w:val="center"/>
        <w:rPr>
          <w:rFonts w:ascii="Calibri Light" w:hAnsi="Calibri Light" w:cs="Calibri"/>
          <w:b/>
          <w:sz w:val="28"/>
          <w:szCs w:val="28"/>
        </w:rPr>
      </w:pPr>
    </w:p>
    <w:p w14:paraId="4D8ED0FE" w14:textId="77777777" w:rsidR="006E5D8E" w:rsidRPr="00CD1EE5" w:rsidRDefault="00427AD2" w:rsidP="00603545">
      <w:pPr>
        <w:spacing w:before="120" w:after="240"/>
        <w:jc w:val="center"/>
        <w:rPr>
          <w:rFonts w:ascii="Calibri Light" w:hAnsi="Calibri Light" w:cs="Calibri"/>
          <w:b/>
          <w:sz w:val="28"/>
          <w:szCs w:val="28"/>
        </w:rPr>
      </w:pPr>
      <w:r w:rsidRPr="00CD1EE5">
        <w:rPr>
          <w:rFonts w:ascii="Calibri Light" w:hAnsi="Calibri Light" w:cs="Calibri"/>
          <w:b/>
          <w:sz w:val="28"/>
          <w:szCs w:val="28"/>
        </w:rPr>
        <w:t>Reply for appellant</w:t>
      </w:r>
    </w:p>
    <w:p w14:paraId="4CC93022" w14:textId="77777777" w:rsidR="00603545" w:rsidRDefault="00603545" w:rsidP="00603545">
      <w:pPr>
        <w:jc w:val="center"/>
      </w:pPr>
      <w:r>
        <w:rPr>
          <w:rFonts w:ascii="Calibri Light" w:hAnsi="Calibri Light" w:cs="Calibri"/>
          <w:sz w:val="28"/>
          <w:szCs w:val="28"/>
        </w:rPr>
        <w:t>_______________</w:t>
      </w:r>
    </w:p>
    <w:p w14:paraId="6A05A809" w14:textId="77777777" w:rsidR="00603545" w:rsidRPr="00CD1EE5" w:rsidRDefault="00603545" w:rsidP="00B85333">
      <w:pPr>
        <w:spacing w:before="120"/>
        <w:jc w:val="center"/>
        <w:rPr>
          <w:rFonts w:ascii="Calibri Light" w:hAnsi="Calibri Light" w:cs="Calibri"/>
          <w:sz w:val="28"/>
          <w:szCs w:val="28"/>
        </w:rPr>
      </w:pPr>
    </w:p>
    <w:p w14:paraId="6273BCDC" w14:textId="77777777" w:rsidR="00B1458B" w:rsidRPr="007C5DF9" w:rsidRDefault="00CD1EE5" w:rsidP="00B1458B">
      <w:pPr>
        <w:spacing w:before="120" w:line="360" w:lineRule="auto"/>
        <w:rPr>
          <w:rFonts w:ascii="Calibri Light" w:hAnsi="Calibri Light" w:cs="Calibri"/>
          <w:b/>
          <w:bCs/>
          <w:iCs/>
          <w:u w:val="single"/>
        </w:rPr>
      </w:pPr>
      <w:r w:rsidRPr="007C5DF9">
        <w:rPr>
          <w:rFonts w:ascii="Calibri Light" w:hAnsi="Calibri Light" w:cs="Calibri"/>
          <w:b/>
          <w:bCs/>
          <w:iCs/>
          <w:u w:val="single"/>
        </w:rPr>
        <w:t>Decision appealed and outcome sought</w:t>
      </w:r>
    </w:p>
    <w:p w14:paraId="0FB8B81D" w14:textId="087096A0" w:rsidR="00603545" w:rsidRPr="00A94C61" w:rsidRDefault="00A94C61" w:rsidP="00206FB7">
      <w:pPr>
        <w:numPr>
          <w:ilvl w:val="0"/>
          <w:numId w:val="1"/>
        </w:numPr>
        <w:spacing w:before="120" w:line="360" w:lineRule="auto"/>
        <w:ind w:left="357" w:hanging="357"/>
        <w:jc w:val="both"/>
        <w:rPr>
          <w:rFonts w:ascii="Calibri Light" w:hAnsi="Calibri Light"/>
        </w:rPr>
      </w:pPr>
      <w:r>
        <w:rPr>
          <w:rFonts w:ascii="Calibri Light" w:hAnsi="Calibri Light"/>
        </w:rPr>
        <w:t xml:space="preserve">[NAME] </w:t>
      </w:r>
      <w:proofErr w:type="gramStart"/>
      <w:r>
        <w:rPr>
          <w:rFonts w:ascii="Calibri Light" w:hAnsi="Calibri Light"/>
        </w:rPr>
        <w:t>challenges</w:t>
      </w:r>
      <w:proofErr w:type="gramEnd"/>
      <w:r>
        <w:rPr>
          <w:rFonts w:ascii="Calibri Light" w:hAnsi="Calibri Light"/>
        </w:rPr>
        <w:t xml:space="preserve"> the decision dated </w:t>
      </w:r>
      <w:r w:rsidR="00E45DBF">
        <w:rPr>
          <w:rFonts w:ascii="Calibri Light" w:hAnsi="Calibri Light"/>
        </w:rPr>
        <w:t>[</w:t>
      </w:r>
      <w:r>
        <w:rPr>
          <w:rFonts w:ascii="Calibri Light" w:hAnsi="Calibri Light"/>
        </w:rPr>
        <w:t>DATE] awarding them benefit after managed migrating onto Universal Credit (‘UC’) on the ground that the transitional element has been incorrectly calculated.</w:t>
      </w:r>
    </w:p>
    <w:p w14:paraId="5A39BBE3" w14:textId="77777777" w:rsidR="006E5EDD" w:rsidRDefault="006E5EDD" w:rsidP="00CD1EE5">
      <w:pPr>
        <w:spacing w:before="120" w:line="360" w:lineRule="auto"/>
        <w:jc w:val="both"/>
        <w:rPr>
          <w:rFonts w:ascii="Calibri Light" w:hAnsi="Calibri Light"/>
          <w:b/>
          <w:bCs/>
          <w:iCs/>
          <w:u w:val="single"/>
        </w:rPr>
      </w:pPr>
    </w:p>
    <w:p w14:paraId="46BA7146" w14:textId="77777777" w:rsidR="00862D7A" w:rsidRPr="007C5DF9" w:rsidRDefault="00862D7A" w:rsidP="00CD1EE5">
      <w:pPr>
        <w:spacing w:before="120" w:line="360" w:lineRule="auto"/>
        <w:jc w:val="both"/>
        <w:rPr>
          <w:rFonts w:ascii="Calibri Light" w:hAnsi="Calibri Light"/>
          <w:b/>
          <w:bCs/>
          <w:iCs/>
          <w:u w:val="single"/>
        </w:rPr>
      </w:pPr>
      <w:r w:rsidRPr="007C5DF9">
        <w:rPr>
          <w:rFonts w:ascii="Calibri Light" w:hAnsi="Calibri Light"/>
          <w:b/>
          <w:bCs/>
          <w:iCs/>
          <w:u w:val="single"/>
        </w:rPr>
        <w:t>Background – managed migration</w:t>
      </w:r>
      <w:r w:rsidR="00A94C61">
        <w:rPr>
          <w:rFonts w:ascii="Calibri Light" w:hAnsi="Calibri Light"/>
          <w:b/>
          <w:bCs/>
          <w:iCs/>
          <w:u w:val="single"/>
        </w:rPr>
        <w:t xml:space="preserve"> transitional protection</w:t>
      </w:r>
    </w:p>
    <w:p w14:paraId="4931039F" w14:textId="376A3C1E" w:rsidR="00862D7A" w:rsidRPr="00862D7A" w:rsidRDefault="00862D7A" w:rsidP="00862D7A">
      <w:pPr>
        <w:numPr>
          <w:ilvl w:val="0"/>
          <w:numId w:val="1"/>
        </w:numPr>
        <w:spacing w:before="120" w:line="360" w:lineRule="auto"/>
        <w:jc w:val="both"/>
        <w:rPr>
          <w:rFonts w:ascii="Calibri Light" w:hAnsi="Calibri Light"/>
          <w:i/>
          <w:u w:val="single"/>
        </w:rPr>
      </w:pPr>
      <w:r>
        <w:rPr>
          <w:rFonts w:ascii="Calibri Light" w:hAnsi="Calibri Light" w:cs="Calibri"/>
        </w:rPr>
        <w:t xml:space="preserve">The </w:t>
      </w:r>
      <w:r w:rsidR="00E45DBF" w:rsidRPr="00E45DBF">
        <w:rPr>
          <w:rFonts w:ascii="Calibri Light" w:hAnsi="Calibri Light" w:cs="Calibri"/>
        </w:rPr>
        <w:t xml:space="preserve">Secretary of State for Work and Pensions </w:t>
      </w:r>
      <w:r w:rsidR="00E45DBF">
        <w:rPr>
          <w:rFonts w:ascii="Calibri Light" w:hAnsi="Calibri Light" w:cs="Calibri"/>
        </w:rPr>
        <w:t>(</w:t>
      </w:r>
      <w:r w:rsidR="00EB74F8">
        <w:rPr>
          <w:rFonts w:ascii="Calibri Light" w:hAnsi="Calibri Light" w:cs="Calibri"/>
        </w:rPr>
        <w:t>‘</w:t>
      </w:r>
      <w:r w:rsidR="00E45DBF">
        <w:rPr>
          <w:rFonts w:ascii="Calibri Light" w:hAnsi="Calibri Light" w:cs="Calibri"/>
        </w:rPr>
        <w:t>SSWP</w:t>
      </w:r>
      <w:r w:rsidR="00EB74F8">
        <w:rPr>
          <w:rFonts w:ascii="Calibri Light" w:hAnsi="Calibri Light" w:cs="Calibri"/>
        </w:rPr>
        <w:t>’</w:t>
      </w:r>
      <w:r w:rsidR="00E45DBF">
        <w:rPr>
          <w:rFonts w:ascii="Calibri Light" w:hAnsi="Calibri Light" w:cs="Calibri"/>
        </w:rPr>
        <w:t>) i</w:t>
      </w:r>
      <w:r>
        <w:rPr>
          <w:rFonts w:ascii="Calibri Light" w:hAnsi="Calibri Light" w:cs="Calibri"/>
        </w:rPr>
        <w:t>s in the process of ending income</w:t>
      </w:r>
      <w:r w:rsidR="00B36FBC">
        <w:rPr>
          <w:rFonts w:ascii="Calibri Light" w:hAnsi="Calibri Light" w:cs="Calibri"/>
        </w:rPr>
        <w:t>-</w:t>
      </w:r>
      <w:r>
        <w:rPr>
          <w:rFonts w:ascii="Calibri Light" w:hAnsi="Calibri Light" w:cs="Calibri"/>
        </w:rPr>
        <w:t>based Jobseeker’s Allowance, income</w:t>
      </w:r>
      <w:r w:rsidR="00B36FBC">
        <w:rPr>
          <w:rFonts w:ascii="Calibri Light" w:hAnsi="Calibri Light" w:cs="Calibri"/>
        </w:rPr>
        <w:t>-</w:t>
      </w:r>
      <w:r>
        <w:rPr>
          <w:rFonts w:ascii="Calibri Light" w:hAnsi="Calibri Light" w:cs="Calibri"/>
        </w:rPr>
        <w:t>related Employment and Support Allowance, Income Support, Housing Benefit, Child Tax Credit and Working Tax Credit (collectively referred to as ‘legacy benefits’) and replacing these with UC. The process by which a recipient of legacy benefits is, at the instigation of the SSWP, moved to UC is referred to as ‘managed migration’</w:t>
      </w:r>
      <w:r>
        <w:rPr>
          <w:rStyle w:val="FootnoteReference"/>
          <w:rFonts w:ascii="Calibri Light" w:hAnsi="Calibri Light" w:cs="Calibri"/>
        </w:rPr>
        <w:footnoteReference w:id="1"/>
      </w:r>
      <w:r>
        <w:rPr>
          <w:rFonts w:ascii="Calibri Light" w:hAnsi="Calibri Light" w:cs="Calibri"/>
        </w:rPr>
        <w:t>.</w:t>
      </w:r>
    </w:p>
    <w:p w14:paraId="66FCDE1A" w14:textId="77777777" w:rsidR="00862D7A" w:rsidRDefault="00862D7A" w:rsidP="00862D7A">
      <w:pPr>
        <w:numPr>
          <w:ilvl w:val="0"/>
          <w:numId w:val="1"/>
        </w:numPr>
        <w:spacing w:before="120" w:line="360" w:lineRule="auto"/>
        <w:jc w:val="both"/>
        <w:rPr>
          <w:rFonts w:ascii="Calibri Light" w:hAnsi="Calibri Light"/>
          <w:iCs/>
        </w:rPr>
      </w:pPr>
      <w:r w:rsidRPr="00862D7A">
        <w:rPr>
          <w:rFonts w:ascii="Calibri Light" w:hAnsi="Calibri Light"/>
          <w:iCs/>
        </w:rPr>
        <w:t xml:space="preserve">The SSWP </w:t>
      </w:r>
      <w:r>
        <w:rPr>
          <w:rFonts w:ascii="Calibri Light" w:hAnsi="Calibri Light"/>
          <w:iCs/>
        </w:rPr>
        <w:t>has committed</w:t>
      </w:r>
      <w:r w:rsidR="00A94C61">
        <w:rPr>
          <w:rFonts w:ascii="Calibri Light" w:hAnsi="Calibri Light"/>
          <w:iCs/>
        </w:rPr>
        <w:t>, on multiple occasions,</w:t>
      </w:r>
      <w:r>
        <w:rPr>
          <w:rFonts w:ascii="Calibri Light" w:hAnsi="Calibri Light"/>
          <w:iCs/>
        </w:rPr>
        <w:t xml:space="preserve"> to ensuring that nobody is worse off in cash terms at the point of transfer to UC</w:t>
      </w:r>
      <w:r w:rsidR="00A94C61">
        <w:rPr>
          <w:rStyle w:val="FootnoteReference"/>
          <w:rFonts w:ascii="Calibri Light" w:hAnsi="Calibri Light"/>
          <w:iCs/>
        </w:rPr>
        <w:footnoteReference w:id="2"/>
      </w:r>
      <w:r>
        <w:rPr>
          <w:rFonts w:ascii="Calibri Light" w:hAnsi="Calibri Light"/>
          <w:iCs/>
        </w:rPr>
        <w:t xml:space="preserve">. To this end, the SSWP has made provision for a </w:t>
      </w:r>
      <w:r w:rsidR="00AE44B0">
        <w:rPr>
          <w:rFonts w:ascii="Calibri Light" w:hAnsi="Calibri Light"/>
          <w:iCs/>
        </w:rPr>
        <w:t xml:space="preserve">managed migration </w:t>
      </w:r>
      <w:r>
        <w:rPr>
          <w:rFonts w:ascii="Calibri Light" w:hAnsi="Calibri Light"/>
          <w:iCs/>
        </w:rPr>
        <w:t>transitional element.</w:t>
      </w:r>
    </w:p>
    <w:p w14:paraId="2AE136EB" w14:textId="77777777" w:rsidR="00D27B3C" w:rsidRPr="00862D7A" w:rsidRDefault="00D27B3C" w:rsidP="6037DF37">
      <w:pPr>
        <w:numPr>
          <w:ilvl w:val="0"/>
          <w:numId w:val="1"/>
        </w:numPr>
        <w:spacing w:before="120" w:line="360" w:lineRule="auto"/>
        <w:jc w:val="both"/>
        <w:rPr>
          <w:rFonts w:ascii="Calibri Light" w:hAnsi="Calibri Light"/>
        </w:rPr>
      </w:pPr>
      <w:r w:rsidRPr="6037DF37">
        <w:rPr>
          <w:rFonts w:ascii="Calibri Light" w:hAnsi="Calibri Light"/>
        </w:rPr>
        <w:t>In this case [NAME] has found themselves worse off in cash terms at the point of transfer to UC. This is due to the SSWP not correctly calculating the transitional element.</w:t>
      </w:r>
    </w:p>
    <w:p w14:paraId="3AAA063A" w14:textId="1E22DBF0" w:rsidR="7C155A11" w:rsidRDefault="7C155A11" w:rsidP="009147B3">
      <w:pPr>
        <w:spacing w:before="120" w:line="360" w:lineRule="auto"/>
        <w:ind w:left="360"/>
        <w:jc w:val="both"/>
        <w:rPr>
          <w:rFonts w:ascii="Calibri Light" w:hAnsi="Calibri Light" w:cs="Calibri"/>
          <w:b/>
          <w:bCs/>
          <w:u w:val="single"/>
        </w:rPr>
      </w:pPr>
      <w:r w:rsidRPr="6037DF37">
        <w:rPr>
          <w:rFonts w:ascii="Calibri Light" w:hAnsi="Calibri Light" w:cs="Calibri"/>
          <w:b/>
          <w:bCs/>
          <w:u w:val="single"/>
        </w:rPr>
        <w:t>Summary of the issue</w:t>
      </w:r>
    </w:p>
    <w:p w14:paraId="773C49F3" w14:textId="6C4E37FE"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In broad terms, the way that the managed migration transitional element is calculated involves comparing a ‘total legacy amount’ (representing the amount of legacy benefit</w:t>
      </w:r>
      <w:r w:rsidR="00E45DBF">
        <w:rPr>
          <w:rFonts w:ascii="Calibri Light" w:hAnsi="Calibri Light" w:cs="Calibri"/>
        </w:rPr>
        <w:t>s</w:t>
      </w:r>
      <w:r w:rsidRPr="6037DF37">
        <w:rPr>
          <w:rFonts w:ascii="Calibri Light" w:hAnsi="Calibri Light" w:cs="Calibri"/>
        </w:rPr>
        <w:t xml:space="preserve"> a claimant had been entitled to) with an ‘indicative UC amount’ (representing the amount of UC a claimant will be entitled to)</w:t>
      </w:r>
      <w:r w:rsidR="003969C2">
        <w:rPr>
          <w:rFonts w:ascii="Calibri Light" w:hAnsi="Calibri Light" w:cs="Calibri"/>
        </w:rPr>
        <w:t>. W</w:t>
      </w:r>
      <w:r w:rsidRPr="6037DF37">
        <w:rPr>
          <w:rFonts w:ascii="Calibri Light" w:hAnsi="Calibri Light" w:cs="Calibri"/>
        </w:rPr>
        <w:t>here the indicative UC amount is lower than the total legacy amount</w:t>
      </w:r>
      <w:r w:rsidR="00E45DBF">
        <w:rPr>
          <w:rFonts w:ascii="Calibri Light" w:hAnsi="Calibri Light" w:cs="Calibri"/>
        </w:rPr>
        <w:t>,</w:t>
      </w:r>
      <w:r w:rsidRPr="6037DF37">
        <w:rPr>
          <w:rFonts w:ascii="Calibri Light" w:hAnsi="Calibri Light" w:cs="Calibri"/>
        </w:rPr>
        <w:t xml:space="preserve"> </w:t>
      </w:r>
      <w:r w:rsidR="00B9667A">
        <w:rPr>
          <w:rFonts w:ascii="Calibri Light" w:hAnsi="Calibri Light" w:cs="Calibri"/>
        </w:rPr>
        <w:t xml:space="preserve">the SSWP awards </w:t>
      </w:r>
      <w:r w:rsidRPr="6037DF37">
        <w:rPr>
          <w:rFonts w:ascii="Calibri Light" w:hAnsi="Calibri Light" w:cs="Calibri"/>
        </w:rPr>
        <w:t>a transitional element equal to the amount by which the</w:t>
      </w:r>
      <w:r w:rsidR="00FB6B50">
        <w:rPr>
          <w:rFonts w:ascii="Calibri Light" w:hAnsi="Calibri Light" w:cs="Calibri"/>
        </w:rPr>
        <w:t xml:space="preserve"> total</w:t>
      </w:r>
      <w:r w:rsidRPr="6037DF37">
        <w:rPr>
          <w:rFonts w:ascii="Calibri Light" w:hAnsi="Calibri Light" w:cs="Calibri"/>
        </w:rPr>
        <w:t xml:space="preserve"> legacy amount exceeded the indicative UC amount. </w:t>
      </w:r>
    </w:p>
    <w:p w14:paraId="4EB0FC5E" w14:textId="36A5EA91"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The rules for this are set out at regs</w:t>
      </w:r>
      <w:r w:rsidR="00B36FBC">
        <w:rPr>
          <w:rFonts w:ascii="Calibri Light" w:hAnsi="Calibri Light" w:cs="Calibri"/>
        </w:rPr>
        <w:t xml:space="preserve"> </w:t>
      </w:r>
      <w:r w:rsidRPr="6037DF37">
        <w:rPr>
          <w:rFonts w:ascii="Calibri Light" w:hAnsi="Calibri Light" w:cs="Calibri"/>
        </w:rPr>
        <w:t>53-55 of the Universal Credit (Transitional Provisions) Regulations 2014 (‘the TP Regs’).</w:t>
      </w:r>
    </w:p>
    <w:p w14:paraId="5834632E" w14:textId="0BE832E0"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These regulations require</w:t>
      </w:r>
      <w:r w:rsidR="00892C9E" w:rsidRPr="6037DF37">
        <w:rPr>
          <w:rFonts w:ascii="Calibri Light" w:hAnsi="Calibri Light" w:cs="Calibri"/>
        </w:rPr>
        <w:t xml:space="preserve"> </w:t>
      </w:r>
      <w:r w:rsidRPr="6037DF37">
        <w:rPr>
          <w:rFonts w:ascii="Calibri Light" w:hAnsi="Calibri Light" w:cs="Calibri"/>
        </w:rPr>
        <w:t xml:space="preserve">various assumptions </w:t>
      </w:r>
      <w:r w:rsidR="0AB27575" w:rsidRPr="6037DF37">
        <w:rPr>
          <w:rFonts w:ascii="Calibri Light" w:hAnsi="Calibri Light" w:cs="Calibri"/>
        </w:rPr>
        <w:t xml:space="preserve">to </w:t>
      </w:r>
      <w:r w:rsidR="0B2B1BAF" w:rsidRPr="6037DF37">
        <w:rPr>
          <w:rFonts w:ascii="Calibri Light" w:hAnsi="Calibri Light" w:cs="Calibri"/>
        </w:rPr>
        <w:t>be</w:t>
      </w:r>
      <w:r w:rsidR="0AB27575" w:rsidRPr="6037DF37">
        <w:rPr>
          <w:rFonts w:ascii="Calibri Light" w:hAnsi="Calibri Light" w:cs="Calibri"/>
        </w:rPr>
        <w:t xml:space="preserve"> made </w:t>
      </w:r>
      <w:r w:rsidRPr="6037DF37">
        <w:rPr>
          <w:rFonts w:ascii="Calibri Light" w:hAnsi="Calibri Light" w:cs="Calibri"/>
        </w:rPr>
        <w:t xml:space="preserve">when determining the indicative UC amount.  </w:t>
      </w:r>
      <w:r w:rsidR="4CADF4DD" w:rsidRPr="6037DF37">
        <w:rPr>
          <w:rFonts w:ascii="Calibri Light" w:hAnsi="Calibri Light" w:cs="Calibri"/>
        </w:rPr>
        <w:t xml:space="preserve">If the application of those assumptions means </w:t>
      </w:r>
      <w:r w:rsidRPr="6037DF37">
        <w:rPr>
          <w:rFonts w:ascii="Calibri Light" w:hAnsi="Calibri Light" w:cs="Calibri"/>
        </w:rPr>
        <w:t>that the indicative amount of UC calculated is higher than the actual UC award which will result from the UC claim</w:t>
      </w:r>
      <w:r w:rsidR="00E45DBF">
        <w:rPr>
          <w:rFonts w:ascii="Calibri Light" w:hAnsi="Calibri Light" w:cs="Calibri"/>
        </w:rPr>
        <w:t>,</w:t>
      </w:r>
      <w:r w:rsidRPr="6037DF37">
        <w:rPr>
          <w:rFonts w:ascii="Calibri Light" w:hAnsi="Calibri Light" w:cs="Calibri"/>
        </w:rPr>
        <w:t xml:space="preserve"> </w:t>
      </w:r>
      <w:r w:rsidR="00FB6B50">
        <w:rPr>
          <w:rFonts w:ascii="Calibri Light" w:hAnsi="Calibri Light" w:cs="Calibri"/>
        </w:rPr>
        <w:t xml:space="preserve">then </w:t>
      </w:r>
      <w:r w:rsidR="77CA219B" w:rsidRPr="6037DF37">
        <w:rPr>
          <w:rFonts w:ascii="Calibri Light" w:hAnsi="Calibri Light" w:cs="Calibri"/>
        </w:rPr>
        <w:t>that has the</w:t>
      </w:r>
      <w:r w:rsidRPr="6037DF37">
        <w:rPr>
          <w:rFonts w:ascii="Calibri Light" w:hAnsi="Calibri Light" w:cs="Calibri"/>
        </w:rPr>
        <w:t xml:space="preserve"> effect that the transitional element does</w:t>
      </w:r>
      <w:r w:rsidR="00E45DBF">
        <w:rPr>
          <w:rFonts w:ascii="Calibri Light" w:hAnsi="Calibri Light" w:cs="Calibri"/>
        </w:rPr>
        <w:t xml:space="preserve"> not</w:t>
      </w:r>
      <w:r w:rsidRPr="6037DF37">
        <w:rPr>
          <w:rFonts w:ascii="Calibri Light" w:hAnsi="Calibri Light" w:cs="Calibri"/>
        </w:rPr>
        <w:t xml:space="preserve"> actually compensate the claimant for the loss that moving to UC causes, leaving </w:t>
      </w:r>
      <w:r w:rsidR="52264CA2" w:rsidRPr="6037DF37">
        <w:rPr>
          <w:rFonts w:ascii="Calibri Light" w:hAnsi="Calibri Light" w:cs="Calibri"/>
        </w:rPr>
        <w:t>the claimant</w:t>
      </w:r>
      <w:r w:rsidRPr="6037DF37">
        <w:rPr>
          <w:rFonts w:ascii="Calibri Light" w:hAnsi="Calibri Light" w:cs="Calibri"/>
        </w:rPr>
        <w:t xml:space="preserve"> worse off in cash terms at the point of transfer.</w:t>
      </w:r>
    </w:p>
    <w:p w14:paraId="59D04B33" w14:textId="213847F3" w:rsidR="4B7A5B1E" w:rsidRDefault="4B7A5B1E"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That is what has happened in the present case</w:t>
      </w:r>
      <w:r w:rsidR="00B36FBC">
        <w:rPr>
          <w:rFonts w:ascii="Calibri Light" w:hAnsi="Calibri Light" w:cs="Calibri"/>
        </w:rPr>
        <w:t>;</w:t>
      </w:r>
      <w:r w:rsidRPr="6037DF37">
        <w:rPr>
          <w:rFonts w:ascii="Calibri Light" w:hAnsi="Calibri Light" w:cs="Calibri"/>
        </w:rPr>
        <w:t xml:space="preserve"> </w:t>
      </w:r>
      <w:proofErr w:type="gramStart"/>
      <w:r w:rsidRPr="6037DF37">
        <w:rPr>
          <w:rFonts w:ascii="Calibri Light" w:hAnsi="Calibri Light" w:cs="Calibri"/>
        </w:rPr>
        <w:t>however</w:t>
      </w:r>
      <w:proofErr w:type="gramEnd"/>
      <w:r w:rsidRPr="6037DF37">
        <w:rPr>
          <w:rFonts w:ascii="Calibri Light" w:hAnsi="Calibri Light" w:cs="Calibri"/>
        </w:rPr>
        <w:t xml:space="preserve"> it has only happened because </w:t>
      </w:r>
      <w:r w:rsidR="0E3A79D8" w:rsidRPr="6037DF37">
        <w:rPr>
          <w:rFonts w:ascii="Calibri Light" w:hAnsi="Calibri Light" w:cs="Calibri"/>
        </w:rPr>
        <w:t>the SSWP has incorrectly applied an assumption when calculating the indicative UC amount. The specific assumption that is wrongly applied is at reg. 54(2)(a) TP Regs</w:t>
      </w:r>
      <w:r w:rsidR="009C2C92">
        <w:rPr>
          <w:rFonts w:ascii="Calibri Light" w:hAnsi="Calibri Light" w:cs="Calibri"/>
        </w:rPr>
        <w:t xml:space="preserve"> -</w:t>
      </w:r>
      <w:r w:rsidR="0960F059" w:rsidRPr="6037DF37">
        <w:rPr>
          <w:rFonts w:ascii="Calibri Light" w:hAnsi="Calibri Light" w:cs="Calibri"/>
        </w:rPr>
        <w:t xml:space="preserve"> the SSWP calculated the indicative UC amount as if the claimant would get an element for </w:t>
      </w:r>
      <w:r w:rsidR="00E45DBF">
        <w:rPr>
          <w:rFonts w:ascii="Calibri Light" w:hAnsi="Calibri Light" w:cs="Calibri"/>
        </w:rPr>
        <w:t>the</w:t>
      </w:r>
      <w:r w:rsidR="0960F059" w:rsidRPr="6037DF37">
        <w:rPr>
          <w:rFonts w:ascii="Calibri Light" w:hAnsi="Calibri Light" w:cs="Calibri"/>
        </w:rPr>
        <w:t xml:space="preserve"> young person that they got a C</w:t>
      </w:r>
      <w:r w:rsidR="00E45DBF">
        <w:rPr>
          <w:rFonts w:ascii="Calibri Light" w:hAnsi="Calibri Light" w:cs="Calibri"/>
        </w:rPr>
        <w:t>hild Tax Credit (‘C</w:t>
      </w:r>
      <w:r w:rsidR="0960F059" w:rsidRPr="6037DF37">
        <w:rPr>
          <w:rFonts w:ascii="Calibri Light" w:hAnsi="Calibri Light" w:cs="Calibri"/>
        </w:rPr>
        <w:t>TC</w:t>
      </w:r>
      <w:r w:rsidR="00B36FBC">
        <w:rPr>
          <w:rFonts w:ascii="Calibri Light" w:hAnsi="Calibri Light" w:cs="Calibri"/>
        </w:rPr>
        <w:t>’</w:t>
      </w:r>
      <w:r w:rsidR="00E45DBF">
        <w:rPr>
          <w:rFonts w:ascii="Calibri Light" w:hAnsi="Calibri Light" w:cs="Calibri"/>
        </w:rPr>
        <w:t>)</w:t>
      </w:r>
      <w:r w:rsidR="0960F059" w:rsidRPr="6037DF37">
        <w:rPr>
          <w:rFonts w:ascii="Calibri Light" w:hAnsi="Calibri Light" w:cs="Calibri"/>
        </w:rPr>
        <w:t xml:space="preserve"> amount for</w:t>
      </w:r>
      <w:r w:rsidR="00E45DBF">
        <w:rPr>
          <w:rFonts w:ascii="Calibri Light" w:hAnsi="Calibri Light" w:cs="Calibri"/>
        </w:rPr>
        <w:t>,</w:t>
      </w:r>
      <w:r w:rsidR="0960F059" w:rsidRPr="6037DF37">
        <w:rPr>
          <w:rFonts w:ascii="Calibri Light" w:hAnsi="Calibri Light" w:cs="Calibri"/>
        </w:rPr>
        <w:t xml:space="preserve"> when </w:t>
      </w:r>
      <w:r w:rsidR="7B6B5008" w:rsidRPr="6037DF37">
        <w:rPr>
          <w:rFonts w:ascii="Calibri Light" w:hAnsi="Calibri Light" w:cs="Calibri"/>
        </w:rPr>
        <w:t>that is not permitted</w:t>
      </w:r>
      <w:r w:rsidR="00E45DBF">
        <w:rPr>
          <w:rFonts w:ascii="Calibri Light" w:hAnsi="Calibri Light" w:cs="Calibri"/>
        </w:rPr>
        <w:t xml:space="preserve"> under UC</w:t>
      </w:r>
      <w:r w:rsidR="0E3A79D8" w:rsidRPr="6037DF37">
        <w:rPr>
          <w:rFonts w:ascii="Calibri Light" w:hAnsi="Calibri Light" w:cs="Calibri"/>
        </w:rPr>
        <w:t>.</w:t>
      </w:r>
    </w:p>
    <w:p w14:paraId="4900785F" w14:textId="72419D7F"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Properly understood, reg.54(2)(a) TP Regs provides that a person who gets an award of </w:t>
      </w:r>
      <w:r w:rsidR="00E45DBF">
        <w:rPr>
          <w:rFonts w:ascii="Calibri Light" w:hAnsi="Calibri Light" w:cs="Calibri"/>
        </w:rPr>
        <w:t>CTC</w:t>
      </w:r>
      <w:r w:rsidRPr="6037DF37">
        <w:rPr>
          <w:rFonts w:ascii="Calibri Light" w:hAnsi="Calibri Light" w:cs="Calibri"/>
        </w:rPr>
        <w:t xml:space="preserve"> that includes a </w:t>
      </w:r>
      <w:r w:rsidR="00E45DBF">
        <w:rPr>
          <w:rFonts w:ascii="Calibri Light" w:hAnsi="Calibri Light" w:cs="Calibri"/>
        </w:rPr>
        <w:t>CTC</w:t>
      </w:r>
      <w:r w:rsidRPr="6037DF37">
        <w:rPr>
          <w:rFonts w:ascii="Calibri Light" w:hAnsi="Calibri Light" w:cs="Calibri"/>
        </w:rPr>
        <w:t xml:space="preserve"> element in respect of a young person who counts as a qualifying young person for UC, should have their indicative UC amount calculated as if they will get a child element in their UC for that young person. </w:t>
      </w:r>
    </w:p>
    <w:p w14:paraId="798748C3" w14:textId="142BF57D"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However, </w:t>
      </w:r>
      <w:r w:rsidR="0B07C607" w:rsidRPr="6037DF37">
        <w:rPr>
          <w:rFonts w:ascii="Calibri Light" w:hAnsi="Calibri Light" w:cs="Calibri"/>
        </w:rPr>
        <w:t xml:space="preserve">in this case the young person </w:t>
      </w:r>
      <w:r w:rsidRPr="6037DF37">
        <w:rPr>
          <w:rFonts w:ascii="Calibri Light" w:hAnsi="Calibri Light" w:cs="Calibri"/>
        </w:rPr>
        <w:t>count</w:t>
      </w:r>
      <w:r w:rsidR="4EAC4961" w:rsidRPr="6037DF37">
        <w:rPr>
          <w:rFonts w:ascii="Calibri Light" w:hAnsi="Calibri Light" w:cs="Calibri"/>
        </w:rPr>
        <w:t>s</w:t>
      </w:r>
      <w:r w:rsidRPr="6037DF37">
        <w:rPr>
          <w:rFonts w:ascii="Calibri Light" w:hAnsi="Calibri Light" w:cs="Calibri"/>
        </w:rPr>
        <w:t xml:space="preserve"> as </w:t>
      </w:r>
      <w:r w:rsidR="06433189" w:rsidRPr="6037DF37">
        <w:rPr>
          <w:rFonts w:ascii="Calibri Light" w:hAnsi="Calibri Light" w:cs="Calibri"/>
        </w:rPr>
        <w:t xml:space="preserve">a </w:t>
      </w:r>
      <w:r w:rsidRPr="6037DF37">
        <w:rPr>
          <w:rFonts w:ascii="Calibri Light" w:hAnsi="Calibri Light" w:cs="Calibri"/>
        </w:rPr>
        <w:t>qualifying young person for CTC but not for UC- the indicative UC amount, under the relevant assumption, should not include a child element</w:t>
      </w:r>
      <w:r w:rsidR="512D8CCE" w:rsidRPr="6037DF37">
        <w:rPr>
          <w:rFonts w:ascii="Calibri Light" w:hAnsi="Calibri Light" w:cs="Calibri"/>
        </w:rPr>
        <w:t xml:space="preserve"> in respect of the</w:t>
      </w:r>
      <w:r w:rsidR="00780BF4">
        <w:rPr>
          <w:rFonts w:ascii="Calibri Light" w:hAnsi="Calibri Light" w:cs="Calibri"/>
        </w:rPr>
        <w:t xml:space="preserve"> young person</w:t>
      </w:r>
      <w:r w:rsidR="512D8CCE" w:rsidRPr="6037DF37">
        <w:rPr>
          <w:rFonts w:ascii="Calibri Light" w:hAnsi="Calibri Light" w:cs="Calibri"/>
        </w:rPr>
        <w:t>.</w:t>
      </w:r>
      <w:r w:rsidRPr="6037DF37">
        <w:rPr>
          <w:rFonts w:ascii="Calibri Light" w:hAnsi="Calibri Light" w:cs="Calibri"/>
        </w:rPr>
        <w:t xml:space="preserve"> </w:t>
      </w:r>
    </w:p>
    <w:p w14:paraId="07665718" w14:textId="293A50DE" w:rsidR="0E3A79D8" w:rsidRDefault="0E3A79D8" w:rsidP="009147B3">
      <w:pPr>
        <w:pStyle w:val="ListParagraph"/>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The SSWP </w:t>
      </w:r>
      <w:r w:rsidR="029B19DE" w:rsidRPr="6037DF37">
        <w:rPr>
          <w:rFonts w:ascii="Calibri Light" w:hAnsi="Calibri Light" w:cs="Calibri"/>
        </w:rPr>
        <w:t xml:space="preserve">has therefore </w:t>
      </w:r>
      <w:r w:rsidRPr="6037DF37">
        <w:rPr>
          <w:rFonts w:ascii="Calibri Light" w:hAnsi="Calibri Light" w:cs="Calibri"/>
        </w:rPr>
        <w:t>incorrectly includ</w:t>
      </w:r>
      <w:r w:rsidR="3A0ECBD8" w:rsidRPr="6037DF37">
        <w:rPr>
          <w:rFonts w:ascii="Calibri Light" w:hAnsi="Calibri Light" w:cs="Calibri"/>
        </w:rPr>
        <w:t>ed</w:t>
      </w:r>
      <w:r w:rsidRPr="6037DF37">
        <w:rPr>
          <w:rFonts w:ascii="Calibri Light" w:hAnsi="Calibri Light" w:cs="Calibri"/>
        </w:rPr>
        <w:t xml:space="preserve"> a child element in the indicative UC amount when she should not </w:t>
      </w:r>
      <w:r w:rsidR="0E6FD92F" w:rsidRPr="6037DF37">
        <w:rPr>
          <w:rFonts w:ascii="Calibri Light" w:hAnsi="Calibri Light" w:cs="Calibri"/>
        </w:rPr>
        <w:t>have done</w:t>
      </w:r>
      <w:r w:rsidRPr="6037DF37">
        <w:rPr>
          <w:rFonts w:ascii="Calibri Light" w:hAnsi="Calibri Light" w:cs="Calibri"/>
        </w:rPr>
        <w:t>. The SSWP</w:t>
      </w:r>
      <w:r w:rsidR="10960E70" w:rsidRPr="6037DF37">
        <w:rPr>
          <w:rFonts w:ascii="Calibri Light" w:hAnsi="Calibri Light" w:cs="Calibri"/>
        </w:rPr>
        <w:t xml:space="preserve"> then awarded UC but, correctly, did not include an amount for the child element in </w:t>
      </w:r>
      <w:r w:rsidRPr="6037DF37">
        <w:rPr>
          <w:rFonts w:ascii="Calibri Light" w:hAnsi="Calibri Light" w:cs="Calibri"/>
        </w:rPr>
        <w:t>the actual UC award resulting from the UC claim</w:t>
      </w:r>
      <w:r w:rsidR="114C2AA4" w:rsidRPr="6037DF37">
        <w:rPr>
          <w:rFonts w:ascii="Calibri Light" w:hAnsi="Calibri Light" w:cs="Calibri"/>
        </w:rPr>
        <w:t>.</w:t>
      </w:r>
      <w:r w:rsidRPr="6037DF37">
        <w:rPr>
          <w:rFonts w:ascii="Calibri Light" w:hAnsi="Calibri Light" w:cs="Calibri"/>
        </w:rPr>
        <w:t xml:space="preserve"> The result is that the transitional element does not make up the shortfall between what the claimant gets on UC and what they used to have on legacy benefits, leaving the claimant worse off in cash terms at the point of transfer.</w:t>
      </w:r>
    </w:p>
    <w:p w14:paraId="74DD700A" w14:textId="77777777" w:rsidR="00CD1EE5" w:rsidRPr="007C5DF9" w:rsidRDefault="00CD1EE5" w:rsidP="00CD1EE5">
      <w:pPr>
        <w:spacing w:before="120" w:line="360" w:lineRule="auto"/>
        <w:jc w:val="both"/>
        <w:rPr>
          <w:rFonts w:ascii="Calibri Light" w:hAnsi="Calibri Light" w:cs="Calibri"/>
          <w:b/>
          <w:bCs/>
          <w:iCs/>
          <w:u w:val="single"/>
        </w:rPr>
      </w:pPr>
      <w:r w:rsidRPr="007C5DF9">
        <w:rPr>
          <w:rFonts w:ascii="Calibri Light" w:hAnsi="Calibri Light"/>
          <w:b/>
          <w:bCs/>
          <w:iCs/>
          <w:u w:val="single"/>
        </w:rPr>
        <w:t>Relevant Facts</w:t>
      </w:r>
    </w:p>
    <w:p w14:paraId="46C23D2E" w14:textId="77777777" w:rsidR="0006672D" w:rsidRDefault="0006672D" w:rsidP="00862D7A">
      <w:pPr>
        <w:numPr>
          <w:ilvl w:val="0"/>
          <w:numId w:val="1"/>
        </w:numPr>
        <w:spacing w:before="120" w:line="360" w:lineRule="auto"/>
        <w:jc w:val="both"/>
        <w:rPr>
          <w:rFonts w:ascii="Calibri Light" w:hAnsi="Calibri Light" w:cs="Calibri"/>
        </w:rPr>
      </w:pPr>
      <w:r>
        <w:rPr>
          <w:rFonts w:ascii="Calibri Light" w:hAnsi="Calibri Light" w:cs="Calibri"/>
        </w:rPr>
        <w:t>[NAME] is a parent to [</w:t>
      </w:r>
      <w:r w:rsidR="001572EC">
        <w:rPr>
          <w:rFonts w:ascii="Calibri Light" w:hAnsi="Calibri Light" w:cs="Calibri"/>
        </w:rPr>
        <w:t xml:space="preserve">CHILD’S </w:t>
      </w:r>
      <w:r>
        <w:rPr>
          <w:rFonts w:ascii="Calibri Light" w:hAnsi="Calibri Light" w:cs="Calibri"/>
        </w:rPr>
        <w:t>NAME]</w:t>
      </w:r>
      <w:r w:rsidR="001572EC">
        <w:rPr>
          <w:rFonts w:ascii="Calibri Light" w:hAnsi="Calibri Light" w:cs="Calibri"/>
        </w:rPr>
        <w:t xml:space="preserve">. </w:t>
      </w:r>
    </w:p>
    <w:p w14:paraId="1194D0B0" w14:textId="77777777" w:rsidR="0072081B" w:rsidRDefault="00206FB7" w:rsidP="00206FB7">
      <w:pPr>
        <w:numPr>
          <w:ilvl w:val="0"/>
          <w:numId w:val="1"/>
        </w:numPr>
        <w:spacing w:before="120" w:line="360" w:lineRule="auto"/>
        <w:jc w:val="both"/>
        <w:rPr>
          <w:rFonts w:ascii="Calibri Light" w:hAnsi="Calibri Light" w:cs="Calibri"/>
        </w:rPr>
      </w:pPr>
      <w:r>
        <w:rPr>
          <w:rFonts w:ascii="Calibri Light" w:hAnsi="Calibri Light" w:cs="Calibri"/>
        </w:rPr>
        <w:t>[NAME] had been receiving [</w:t>
      </w:r>
      <w:r w:rsidR="0006672D">
        <w:rPr>
          <w:rFonts w:ascii="Calibri Light" w:hAnsi="Calibri Light" w:cs="Calibri"/>
        </w:rPr>
        <w:t xml:space="preserve">SPECIFY </w:t>
      </w:r>
      <w:r>
        <w:rPr>
          <w:rFonts w:ascii="Calibri Light" w:hAnsi="Calibri Light" w:cs="Calibri"/>
        </w:rPr>
        <w:t>LEGACY BENEFITS].</w:t>
      </w:r>
    </w:p>
    <w:p w14:paraId="2FE5575A" w14:textId="072CFD36" w:rsidR="00206FB7" w:rsidRDefault="00206FB7" w:rsidP="00206FB7">
      <w:pPr>
        <w:numPr>
          <w:ilvl w:val="0"/>
          <w:numId w:val="1"/>
        </w:numPr>
        <w:spacing w:before="120" w:line="360" w:lineRule="auto"/>
        <w:jc w:val="both"/>
        <w:rPr>
          <w:rFonts w:ascii="Calibri Light" w:hAnsi="Calibri Light" w:cs="Calibri"/>
        </w:rPr>
      </w:pPr>
      <w:r>
        <w:rPr>
          <w:rFonts w:ascii="Calibri Light" w:hAnsi="Calibri Light" w:cs="Calibri"/>
        </w:rPr>
        <w:t xml:space="preserve">[DATE]: [NAME] was issued with a migration notice providing </w:t>
      </w:r>
      <w:r w:rsidR="009013B6">
        <w:rPr>
          <w:rFonts w:ascii="Calibri Light" w:hAnsi="Calibri Light" w:cs="Calibri"/>
        </w:rPr>
        <w:t>[</w:t>
      </w:r>
      <w:r>
        <w:rPr>
          <w:rFonts w:ascii="Calibri Light" w:hAnsi="Calibri Light" w:cs="Calibri"/>
        </w:rPr>
        <w:t>her</w:t>
      </w:r>
      <w:r w:rsidR="009013B6">
        <w:rPr>
          <w:rFonts w:ascii="Calibri Light" w:hAnsi="Calibri Light" w:cs="Calibri"/>
        </w:rPr>
        <w:t>/him]</w:t>
      </w:r>
      <w:r>
        <w:rPr>
          <w:rFonts w:ascii="Calibri Light" w:hAnsi="Calibri Light" w:cs="Calibri"/>
        </w:rPr>
        <w:t xml:space="preserve"> with a deadline to make a claim for UC</w:t>
      </w:r>
      <w:r w:rsidR="00B36FBC">
        <w:rPr>
          <w:rFonts w:ascii="Calibri Light" w:hAnsi="Calibri Light" w:cs="Calibri"/>
        </w:rPr>
        <w:t>:</w:t>
      </w:r>
      <w:r w:rsidR="001572EC">
        <w:rPr>
          <w:rFonts w:ascii="Calibri Light" w:hAnsi="Calibri Light" w:cs="Calibri"/>
        </w:rPr>
        <w:t xml:space="preserve"> (DEADLINE DATE)</w:t>
      </w:r>
      <w:r>
        <w:rPr>
          <w:rFonts w:ascii="Calibri Light" w:hAnsi="Calibri Light" w:cs="Calibri"/>
        </w:rPr>
        <w:t>.</w:t>
      </w:r>
    </w:p>
    <w:p w14:paraId="0E7D9CC5" w14:textId="53B31D31" w:rsidR="001572EC" w:rsidRDefault="001572EC" w:rsidP="00206FB7">
      <w:pPr>
        <w:numPr>
          <w:ilvl w:val="0"/>
          <w:numId w:val="1"/>
        </w:numPr>
        <w:spacing w:before="120" w:line="360" w:lineRule="auto"/>
        <w:jc w:val="both"/>
        <w:rPr>
          <w:rFonts w:ascii="Calibri Light" w:hAnsi="Calibri Light" w:cs="Calibri"/>
        </w:rPr>
      </w:pPr>
      <w:r>
        <w:rPr>
          <w:rFonts w:ascii="Calibri Light" w:hAnsi="Calibri Light" w:cs="Calibri"/>
        </w:rPr>
        <w:t xml:space="preserve">[DATE]: This was the day before [NAME] made </w:t>
      </w:r>
      <w:r w:rsidR="009013B6">
        <w:rPr>
          <w:rFonts w:ascii="Calibri Light" w:hAnsi="Calibri Light" w:cs="Calibri"/>
        </w:rPr>
        <w:t xml:space="preserve">[her/him] </w:t>
      </w:r>
      <w:r>
        <w:rPr>
          <w:rFonts w:ascii="Calibri Light" w:hAnsi="Calibri Light" w:cs="Calibri"/>
        </w:rPr>
        <w:t>claim for UC. On this day [CHIL</w:t>
      </w:r>
      <w:r w:rsidR="006C2115">
        <w:rPr>
          <w:rFonts w:ascii="Calibri Light" w:hAnsi="Calibri Light" w:cs="Calibri"/>
        </w:rPr>
        <w:t>D’S NAME]</w:t>
      </w:r>
      <w:r w:rsidR="00BD31F7">
        <w:rPr>
          <w:rFonts w:ascii="Calibri Light" w:hAnsi="Calibri Light" w:cs="Calibri"/>
        </w:rPr>
        <w:t xml:space="preserve"> </w:t>
      </w:r>
      <w:bookmarkStart w:id="0" w:name="_Hlk177990048"/>
      <w:r w:rsidR="00BD31F7">
        <w:rPr>
          <w:rFonts w:ascii="Calibri Light" w:hAnsi="Calibri Light" w:cs="Calibri"/>
        </w:rPr>
        <w:t xml:space="preserve">was aged 19 and </w:t>
      </w:r>
      <w:r w:rsidR="006B09A6">
        <w:rPr>
          <w:rFonts w:ascii="Calibri Light" w:hAnsi="Calibri Light" w:cs="Calibri"/>
        </w:rPr>
        <w:t>had reached the 1</w:t>
      </w:r>
      <w:r w:rsidR="006B09A6" w:rsidRPr="006B09A6">
        <w:rPr>
          <w:rFonts w:ascii="Calibri Light" w:hAnsi="Calibri Light" w:cs="Calibri"/>
          <w:vertAlign w:val="superscript"/>
        </w:rPr>
        <w:t>st</w:t>
      </w:r>
      <w:r w:rsidR="006B09A6">
        <w:rPr>
          <w:rFonts w:ascii="Calibri Light" w:hAnsi="Calibri Light" w:cs="Calibri"/>
        </w:rPr>
        <w:t xml:space="preserve"> of September after their 19</w:t>
      </w:r>
      <w:r w:rsidR="006B09A6" w:rsidRPr="006B09A6">
        <w:rPr>
          <w:rFonts w:ascii="Calibri Light" w:hAnsi="Calibri Light" w:cs="Calibri"/>
          <w:vertAlign w:val="superscript"/>
        </w:rPr>
        <w:t>th</w:t>
      </w:r>
      <w:r w:rsidR="006B09A6">
        <w:rPr>
          <w:rFonts w:ascii="Calibri Light" w:hAnsi="Calibri Light" w:cs="Calibri"/>
        </w:rPr>
        <w:t xml:space="preserve"> birthday.  In addition [CHILD’S NAME] was continuing on a course of non-advanced education which they had been enrolled on prior to reaching 19.</w:t>
      </w:r>
    </w:p>
    <w:bookmarkEnd w:id="0"/>
    <w:p w14:paraId="74A40776" w14:textId="77777777" w:rsidR="0006672D" w:rsidRDefault="0006672D" w:rsidP="00206FB7">
      <w:pPr>
        <w:numPr>
          <w:ilvl w:val="0"/>
          <w:numId w:val="1"/>
        </w:numPr>
        <w:spacing w:before="120" w:line="360" w:lineRule="auto"/>
        <w:jc w:val="both"/>
        <w:rPr>
          <w:rFonts w:ascii="Calibri Light" w:hAnsi="Calibri Light" w:cs="Calibri"/>
        </w:rPr>
      </w:pPr>
      <w:r>
        <w:rPr>
          <w:rFonts w:ascii="Calibri Light" w:hAnsi="Calibri Light" w:cs="Calibri"/>
        </w:rPr>
        <w:t>[DATE]</w:t>
      </w:r>
      <w:r w:rsidR="001572EC">
        <w:rPr>
          <w:rFonts w:ascii="Calibri Light" w:hAnsi="Calibri Light" w:cs="Calibri"/>
        </w:rPr>
        <w:t>: [NAME] made a claim for UC. This claim was made before [NAME’S] deadline for claiming UC as part of the managed migration process [NOTE THAT APPROPRIATE EDITS WILL NEED TO BE MADE IF THE CLAIM WAS MADE AFTER THE DEADLINE DAY BUT BEFORE THE FINAL DEADLINE].</w:t>
      </w:r>
    </w:p>
    <w:p w14:paraId="11C75078" w14:textId="77777777" w:rsidR="001572EC" w:rsidRDefault="006C2115" w:rsidP="00206FB7">
      <w:pPr>
        <w:numPr>
          <w:ilvl w:val="0"/>
          <w:numId w:val="1"/>
        </w:numPr>
        <w:spacing w:before="120" w:line="360" w:lineRule="auto"/>
        <w:jc w:val="both"/>
        <w:rPr>
          <w:rFonts w:ascii="Calibri Light" w:hAnsi="Calibri Light" w:cs="Calibri"/>
        </w:rPr>
      </w:pPr>
      <w:r>
        <w:rPr>
          <w:rFonts w:ascii="Calibri Light" w:hAnsi="Calibri Light" w:cs="Calibri"/>
        </w:rPr>
        <w:t>[DATE]: the SSWP made a decision on [NAME’S] claim and [AWARDED / DID NOT AWARD] UC.  The award [IF THERE WAS AN AWARD] [INCLUDED / DID NOT INCLUDE] a transitional element. [NOTE, FOR THE REMAINDER OF THIS TEMPLATE IT WILL BE ASSUMED THAT AN AWARD WAS MADE WHICH DID NOT INCLUDE A TRANSITIONAL ELEMENT. IF THE FACTS OF YOUR CASE ARE DIFFERENT THEN APPROPRIATE EDITS WILL NEED TO BE MADE].</w:t>
      </w:r>
    </w:p>
    <w:p w14:paraId="22F9C3A9" w14:textId="77777777" w:rsidR="006C2115" w:rsidRDefault="006C2115" w:rsidP="00206FB7">
      <w:pPr>
        <w:numPr>
          <w:ilvl w:val="0"/>
          <w:numId w:val="1"/>
        </w:numPr>
        <w:spacing w:before="120" w:line="360" w:lineRule="auto"/>
        <w:jc w:val="both"/>
        <w:rPr>
          <w:rFonts w:ascii="Calibri Light" w:hAnsi="Calibri Light" w:cs="Calibri"/>
        </w:rPr>
      </w:pPr>
      <w:r>
        <w:rPr>
          <w:rFonts w:ascii="Calibri Light" w:hAnsi="Calibri Light" w:cs="Calibri"/>
        </w:rPr>
        <w:t>[DATE]: [NAME] requested a mandatory reconsideration.</w:t>
      </w:r>
    </w:p>
    <w:p w14:paraId="1E3C0DB6" w14:textId="77777777" w:rsidR="006C2115" w:rsidRDefault="006C2115" w:rsidP="00206FB7">
      <w:pPr>
        <w:numPr>
          <w:ilvl w:val="0"/>
          <w:numId w:val="1"/>
        </w:numPr>
        <w:spacing w:before="120" w:line="360" w:lineRule="auto"/>
        <w:jc w:val="both"/>
        <w:rPr>
          <w:rFonts w:ascii="Calibri Light" w:hAnsi="Calibri Light" w:cs="Calibri"/>
        </w:rPr>
      </w:pPr>
      <w:r>
        <w:rPr>
          <w:rFonts w:ascii="Calibri Light" w:hAnsi="Calibri Light" w:cs="Calibri"/>
        </w:rPr>
        <w:t>[DATE]: the SSWP refused to revise the award.</w:t>
      </w:r>
    </w:p>
    <w:p w14:paraId="46F7C745" w14:textId="77777777" w:rsidR="006C2115" w:rsidRDefault="006C2115" w:rsidP="00206FB7">
      <w:pPr>
        <w:numPr>
          <w:ilvl w:val="0"/>
          <w:numId w:val="1"/>
        </w:numPr>
        <w:spacing w:before="120" w:line="360" w:lineRule="auto"/>
        <w:jc w:val="both"/>
        <w:rPr>
          <w:rFonts w:ascii="Calibri Light" w:hAnsi="Calibri Light" w:cs="Calibri"/>
        </w:rPr>
      </w:pPr>
      <w:r>
        <w:rPr>
          <w:rFonts w:ascii="Calibri Light" w:hAnsi="Calibri Light" w:cs="Calibri"/>
        </w:rPr>
        <w:t>[DATE]: [NAME] submitted an appeal.</w:t>
      </w:r>
    </w:p>
    <w:p w14:paraId="72A3D3EC" w14:textId="77777777" w:rsidR="006E5EDD" w:rsidRDefault="006E5EDD" w:rsidP="007C5DF9">
      <w:pPr>
        <w:spacing w:before="120" w:after="240" w:line="360" w:lineRule="auto"/>
        <w:jc w:val="both"/>
        <w:rPr>
          <w:rFonts w:ascii="Calibri Light" w:hAnsi="Calibri Light" w:cs="Calibri"/>
          <w:b/>
          <w:bCs/>
          <w:u w:val="single"/>
        </w:rPr>
      </w:pPr>
    </w:p>
    <w:p w14:paraId="0F61617A" w14:textId="77777777" w:rsidR="00507876" w:rsidRDefault="00507876" w:rsidP="007C5DF9">
      <w:pPr>
        <w:spacing w:before="120" w:after="240" w:line="360" w:lineRule="auto"/>
        <w:jc w:val="both"/>
        <w:rPr>
          <w:rFonts w:ascii="Calibri Light" w:hAnsi="Calibri Light" w:cs="Calibri"/>
          <w:b/>
          <w:bCs/>
          <w:u w:val="single"/>
        </w:rPr>
      </w:pPr>
      <w:r>
        <w:rPr>
          <w:rFonts w:ascii="Calibri Light" w:hAnsi="Calibri Light" w:cs="Calibri"/>
          <w:b/>
          <w:bCs/>
          <w:u w:val="single"/>
        </w:rPr>
        <w:t>Argument in summary</w:t>
      </w:r>
    </w:p>
    <w:p w14:paraId="5CBF5375" w14:textId="779DC036" w:rsidR="00507876" w:rsidRDefault="00507876" w:rsidP="00507876">
      <w:pPr>
        <w:numPr>
          <w:ilvl w:val="0"/>
          <w:numId w:val="1"/>
        </w:numPr>
        <w:spacing w:before="120" w:after="240" w:line="360" w:lineRule="auto"/>
        <w:jc w:val="both"/>
        <w:rPr>
          <w:rFonts w:ascii="Calibri Light" w:hAnsi="Calibri Light" w:cs="Calibri"/>
        </w:rPr>
      </w:pPr>
      <w:r>
        <w:rPr>
          <w:rFonts w:ascii="Calibri Light" w:hAnsi="Calibri Light" w:cs="Calibri"/>
        </w:rPr>
        <w:t>A submits:</w:t>
      </w:r>
    </w:p>
    <w:p w14:paraId="1DC00588" w14:textId="1973BFD0" w:rsidR="00507876" w:rsidRDefault="0029138F" w:rsidP="00507876">
      <w:pPr>
        <w:numPr>
          <w:ilvl w:val="1"/>
          <w:numId w:val="1"/>
        </w:numPr>
        <w:spacing w:before="120" w:after="240" w:line="360" w:lineRule="auto"/>
        <w:jc w:val="both"/>
        <w:rPr>
          <w:rFonts w:ascii="Calibri Light" w:hAnsi="Calibri Light" w:cs="Calibri"/>
        </w:rPr>
      </w:pPr>
      <w:r>
        <w:rPr>
          <w:rFonts w:ascii="Calibri Light" w:hAnsi="Calibri Light" w:cs="Calibri"/>
        </w:rPr>
        <w:t>First</w:t>
      </w:r>
      <w:r w:rsidR="000360FF">
        <w:rPr>
          <w:rFonts w:ascii="Calibri Light" w:hAnsi="Calibri Light" w:cs="Calibri"/>
        </w:rPr>
        <w:t xml:space="preserve">, </w:t>
      </w:r>
      <w:r w:rsidR="00507876">
        <w:rPr>
          <w:rFonts w:ascii="Calibri Light" w:hAnsi="Calibri Light" w:cs="Calibri"/>
        </w:rPr>
        <w:t xml:space="preserve">that although </w:t>
      </w:r>
      <w:r>
        <w:rPr>
          <w:rFonts w:ascii="Calibri Light" w:hAnsi="Calibri Light" w:cs="Calibri"/>
        </w:rPr>
        <w:t xml:space="preserve">[NAME’S] </w:t>
      </w:r>
      <w:r w:rsidR="00507876">
        <w:rPr>
          <w:rFonts w:ascii="Calibri Light" w:hAnsi="Calibri Light" w:cs="Calibri"/>
        </w:rPr>
        <w:t xml:space="preserve">child – [CHILD’S NAME] – is a ‘qualifying young person’ under the definition used for tax credits, [CHILD’S NAME] is not a ‘qualifying young person’ under the definition used for UC; </w:t>
      </w:r>
    </w:p>
    <w:p w14:paraId="43790494" w14:textId="79E3DF4F" w:rsidR="00507876" w:rsidRDefault="0029138F" w:rsidP="00507876">
      <w:pPr>
        <w:numPr>
          <w:ilvl w:val="1"/>
          <w:numId w:val="1"/>
        </w:numPr>
        <w:spacing w:before="120" w:after="240" w:line="360" w:lineRule="auto"/>
        <w:jc w:val="both"/>
        <w:rPr>
          <w:rFonts w:ascii="Calibri Light" w:hAnsi="Calibri Light" w:cs="Calibri"/>
        </w:rPr>
      </w:pPr>
      <w:r w:rsidRPr="6037DF37">
        <w:rPr>
          <w:rFonts w:ascii="Calibri Light" w:hAnsi="Calibri Light" w:cs="Calibri"/>
        </w:rPr>
        <w:t>Second</w:t>
      </w:r>
      <w:r w:rsidR="00507876" w:rsidRPr="6037DF37">
        <w:rPr>
          <w:rFonts w:ascii="Calibri Light" w:hAnsi="Calibri Light" w:cs="Calibri"/>
        </w:rPr>
        <w:t xml:space="preserve">, that the </w:t>
      </w:r>
      <w:r w:rsidR="006F7D0C">
        <w:rPr>
          <w:rFonts w:ascii="Calibri Light" w:hAnsi="Calibri Light" w:cs="Calibri"/>
        </w:rPr>
        <w:t xml:space="preserve">definition of </w:t>
      </w:r>
      <w:r w:rsidR="006F7D0C" w:rsidRPr="6037DF37">
        <w:rPr>
          <w:rFonts w:ascii="Calibri Light" w:hAnsi="Calibri Light" w:cs="Calibri"/>
        </w:rPr>
        <w:t>‘qualifying young person’</w:t>
      </w:r>
      <w:r w:rsidR="006F7D0C">
        <w:rPr>
          <w:rFonts w:ascii="Calibri Light" w:hAnsi="Calibri Light" w:cs="Calibri"/>
        </w:rPr>
        <w:t xml:space="preserve"> is </w:t>
      </w:r>
      <w:r w:rsidR="008E5ED7">
        <w:rPr>
          <w:rFonts w:ascii="Calibri Light" w:hAnsi="Calibri Light" w:cs="Calibri"/>
        </w:rPr>
        <w:t xml:space="preserve">important </w:t>
      </w:r>
      <w:r w:rsidR="006F7D0C">
        <w:rPr>
          <w:rFonts w:ascii="Calibri Light" w:hAnsi="Calibri Light" w:cs="Calibri"/>
        </w:rPr>
        <w:t xml:space="preserve">to the calculation of the </w:t>
      </w:r>
      <w:r w:rsidR="00507876" w:rsidRPr="6037DF37">
        <w:rPr>
          <w:rFonts w:ascii="Calibri Light" w:hAnsi="Calibri Light" w:cs="Calibri"/>
        </w:rPr>
        <w:t xml:space="preserve">managed migration transitional element; </w:t>
      </w:r>
    </w:p>
    <w:p w14:paraId="6F9B64C5" w14:textId="77777777" w:rsidR="00507876" w:rsidRPr="00E079D8" w:rsidRDefault="0029138F" w:rsidP="008D228F">
      <w:pPr>
        <w:numPr>
          <w:ilvl w:val="1"/>
          <w:numId w:val="1"/>
        </w:numPr>
        <w:spacing w:before="120" w:after="240" w:line="360" w:lineRule="auto"/>
        <w:jc w:val="both"/>
        <w:rPr>
          <w:rFonts w:ascii="Calibri Light" w:hAnsi="Calibri Light" w:cs="Calibri"/>
        </w:rPr>
      </w:pPr>
      <w:r>
        <w:rPr>
          <w:rFonts w:ascii="Calibri Light" w:hAnsi="Calibri Light" w:cs="Calibri"/>
        </w:rPr>
        <w:t>Third</w:t>
      </w:r>
      <w:r w:rsidR="00507876" w:rsidRPr="00E079D8">
        <w:rPr>
          <w:rFonts w:ascii="Calibri Light" w:hAnsi="Calibri Light" w:cs="Calibri"/>
        </w:rPr>
        <w:t>, that the SSWP has wrongly used the tax credits definition of ‘qualifying young person’, rather than the UC definition, when calculating [NAME’S] transitional element</w:t>
      </w:r>
      <w:r w:rsidR="00E079D8">
        <w:rPr>
          <w:rFonts w:ascii="Calibri Light" w:hAnsi="Calibri Light" w:cs="Calibri"/>
        </w:rPr>
        <w:t xml:space="preserve">. The </w:t>
      </w:r>
      <w:r w:rsidR="00507876" w:rsidRPr="00E079D8">
        <w:rPr>
          <w:rFonts w:ascii="Calibri Light" w:hAnsi="Calibri Light" w:cs="Calibri"/>
        </w:rPr>
        <w:t xml:space="preserve">consequence </w:t>
      </w:r>
      <w:r w:rsidR="00E079D8">
        <w:rPr>
          <w:rFonts w:ascii="Calibri Light" w:hAnsi="Calibri Light" w:cs="Calibri"/>
        </w:rPr>
        <w:t>of th</w:t>
      </w:r>
      <w:r w:rsidR="006D4414">
        <w:rPr>
          <w:rFonts w:ascii="Calibri Light" w:hAnsi="Calibri Light" w:cs="Calibri"/>
        </w:rPr>
        <w:t xml:space="preserve">e SSWP’s </w:t>
      </w:r>
      <w:r w:rsidR="00E079D8">
        <w:rPr>
          <w:rFonts w:ascii="Calibri Light" w:hAnsi="Calibri Light" w:cs="Calibri"/>
        </w:rPr>
        <w:t>mistake</w:t>
      </w:r>
      <w:r w:rsidR="006D4414">
        <w:rPr>
          <w:rFonts w:ascii="Calibri Light" w:hAnsi="Calibri Light" w:cs="Calibri"/>
        </w:rPr>
        <w:t>n approach</w:t>
      </w:r>
      <w:r w:rsidR="00E079D8">
        <w:rPr>
          <w:rFonts w:ascii="Calibri Light" w:hAnsi="Calibri Light" w:cs="Calibri"/>
        </w:rPr>
        <w:t xml:space="preserve"> is that </w:t>
      </w:r>
      <w:r w:rsidR="00507876" w:rsidRPr="00E079D8">
        <w:rPr>
          <w:rFonts w:ascii="Calibri Light" w:hAnsi="Calibri Light" w:cs="Calibri"/>
        </w:rPr>
        <w:t xml:space="preserve">the SSWP wrongly determined </w:t>
      </w:r>
      <w:r w:rsidR="006917C8" w:rsidRPr="00E079D8">
        <w:rPr>
          <w:rFonts w:ascii="Calibri Light" w:hAnsi="Calibri Light" w:cs="Calibri"/>
        </w:rPr>
        <w:t xml:space="preserve">[THAT </w:t>
      </w:r>
      <w:r w:rsidR="00507876" w:rsidRPr="00E079D8">
        <w:rPr>
          <w:rFonts w:ascii="Calibri Light" w:hAnsi="Calibri Light" w:cs="Calibri"/>
        </w:rPr>
        <w:t>NAME</w:t>
      </w:r>
      <w:r w:rsidR="006917C8" w:rsidRPr="00E079D8">
        <w:rPr>
          <w:rFonts w:ascii="Calibri Light" w:hAnsi="Calibri Light" w:cs="Calibri"/>
        </w:rPr>
        <w:t xml:space="preserve"> DID NOT QUALIFY FOR THE TRANSITIONAL ELEMENT / THE AMOUNT OF TRANSITIONAL ELEMENT NAME QUALIFIED FOR].  When understood correctly [NAME QUALIFIED FOR A TRANSITIONAL ELEMENT / QUALIFIED FOR A GREATER AMOUNT OF THE TRANSITIONAL ELEMENT].</w:t>
      </w:r>
    </w:p>
    <w:p w14:paraId="07E3A17A" w14:textId="44440170" w:rsidR="000360FF" w:rsidRPr="0029138F" w:rsidRDefault="0029138F" w:rsidP="007E1A50">
      <w:pPr>
        <w:numPr>
          <w:ilvl w:val="0"/>
          <w:numId w:val="1"/>
        </w:numPr>
        <w:spacing w:before="120" w:after="240" w:line="360" w:lineRule="auto"/>
        <w:jc w:val="both"/>
        <w:rPr>
          <w:rFonts w:ascii="Calibri Light" w:hAnsi="Calibri Light" w:cs="Calibri"/>
        </w:rPr>
      </w:pPr>
      <w:r w:rsidRPr="0029138F">
        <w:rPr>
          <w:rFonts w:ascii="Calibri Light" w:hAnsi="Calibri Light" w:cs="Calibri"/>
        </w:rPr>
        <w:t>It should be noted that b</w:t>
      </w:r>
      <w:r w:rsidR="000360FF" w:rsidRPr="0029138F">
        <w:rPr>
          <w:rFonts w:ascii="Calibri Light" w:hAnsi="Calibri Light" w:cs="Calibri"/>
        </w:rPr>
        <w:t>oth regulations 53 &amp; 54 TP Regs refer to the migration day. ‘Migration day’ is defined, at reg</w:t>
      </w:r>
      <w:r w:rsidR="00B36FBC">
        <w:rPr>
          <w:rFonts w:ascii="Calibri Light" w:hAnsi="Calibri Light" w:cs="Calibri"/>
        </w:rPr>
        <w:t xml:space="preserve"> </w:t>
      </w:r>
      <w:r w:rsidR="000360FF" w:rsidRPr="0029138F">
        <w:rPr>
          <w:rFonts w:ascii="Calibri Light" w:hAnsi="Calibri Light" w:cs="Calibri"/>
        </w:rPr>
        <w:t>49, as follows: ““Migration day”, in relation to a qualifying claim, means the day before the first day on which the claimant is entitled to universal credit in connection with that claim”</w:t>
      </w:r>
      <w:r w:rsidR="00EC27E3" w:rsidRPr="0029138F">
        <w:rPr>
          <w:rFonts w:ascii="Calibri Light" w:hAnsi="Calibri Light" w:cs="Calibri"/>
        </w:rPr>
        <w:t xml:space="preserve"> i.e. the day before the first day of the UC award.</w:t>
      </w:r>
      <w:r>
        <w:rPr>
          <w:rFonts w:ascii="Calibri Light" w:hAnsi="Calibri Light" w:cs="Calibri"/>
        </w:rPr>
        <w:t xml:space="preserve"> </w:t>
      </w:r>
      <w:r w:rsidR="000360FF" w:rsidRPr="0029138F">
        <w:rPr>
          <w:rFonts w:ascii="Calibri Light" w:hAnsi="Calibri Light" w:cs="Calibri"/>
        </w:rPr>
        <w:t>Regs</w:t>
      </w:r>
      <w:r w:rsidR="00B36FBC">
        <w:rPr>
          <w:rFonts w:ascii="Calibri Light" w:hAnsi="Calibri Light" w:cs="Calibri"/>
        </w:rPr>
        <w:t xml:space="preserve"> </w:t>
      </w:r>
      <w:r w:rsidR="000360FF" w:rsidRPr="0029138F">
        <w:rPr>
          <w:rFonts w:ascii="Calibri Light" w:hAnsi="Calibri Light" w:cs="Calibri"/>
        </w:rPr>
        <w:t>53(1), and reg.54(1) TP Regs, both make clear that the transitional element is to be calculated by reference to the claimant’s circumstances on the migration day.</w:t>
      </w:r>
    </w:p>
    <w:p w14:paraId="6FD3B618" w14:textId="77777777" w:rsidR="009013B6" w:rsidRDefault="009013B6" w:rsidP="00507876">
      <w:pPr>
        <w:spacing w:before="120" w:after="240" w:line="360" w:lineRule="auto"/>
        <w:jc w:val="both"/>
        <w:rPr>
          <w:rFonts w:ascii="Calibri Light" w:hAnsi="Calibri Light" w:cs="Calibri"/>
          <w:i/>
          <w:iCs/>
          <w:u w:val="single"/>
        </w:rPr>
      </w:pPr>
    </w:p>
    <w:p w14:paraId="53E8D2B1" w14:textId="08924E55" w:rsidR="00507876" w:rsidRPr="0029138F" w:rsidRDefault="0029138F" w:rsidP="00507876">
      <w:pPr>
        <w:spacing w:before="120" w:after="240" w:line="360" w:lineRule="auto"/>
        <w:jc w:val="both"/>
        <w:rPr>
          <w:rFonts w:ascii="Calibri Light" w:hAnsi="Calibri Light" w:cs="Calibri"/>
          <w:i/>
          <w:iCs/>
          <w:u w:val="single"/>
        </w:rPr>
      </w:pPr>
      <w:r>
        <w:rPr>
          <w:rFonts w:ascii="Calibri Light" w:hAnsi="Calibri Light" w:cs="Calibri"/>
          <w:i/>
          <w:iCs/>
          <w:u w:val="single"/>
        </w:rPr>
        <w:t xml:space="preserve">First </w:t>
      </w:r>
      <w:r w:rsidR="004C35F5" w:rsidRPr="0029138F">
        <w:rPr>
          <w:rFonts w:ascii="Calibri Light" w:hAnsi="Calibri Light" w:cs="Calibri"/>
          <w:i/>
          <w:iCs/>
          <w:u w:val="single"/>
        </w:rPr>
        <w:t>- q</w:t>
      </w:r>
      <w:r w:rsidR="00507876" w:rsidRPr="0029138F">
        <w:rPr>
          <w:rFonts w:ascii="Calibri Light" w:hAnsi="Calibri Light" w:cs="Calibri"/>
          <w:i/>
          <w:iCs/>
          <w:u w:val="single"/>
        </w:rPr>
        <w:t>ualifying young person</w:t>
      </w:r>
    </w:p>
    <w:p w14:paraId="44C206A1" w14:textId="6A36B967" w:rsidR="0029138F" w:rsidRPr="0029138F" w:rsidRDefault="0029138F">
      <w:pPr>
        <w:numPr>
          <w:ilvl w:val="0"/>
          <w:numId w:val="1"/>
        </w:numPr>
        <w:spacing w:before="120" w:after="240" w:line="360" w:lineRule="auto"/>
        <w:jc w:val="both"/>
        <w:rPr>
          <w:rFonts w:ascii="Calibri Light" w:hAnsi="Calibri Light" w:cs="Calibri"/>
        </w:rPr>
      </w:pPr>
      <w:r w:rsidRPr="6037DF37">
        <w:rPr>
          <w:rFonts w:ascii="Calibri Light" w:hAnsi="Calibri Light" w:cs="Calibri"/>
        </w:rPr>
        <w:t>The definition of qualifying young person in the UC Regs differs from the definition used in the Child Tax Credit Regulations 2002</w:t>
      </w:r>
      <w:r w:rsidR="64A191AE" w:rsidRPr="6037DF37">
        <w:rPr>
          <w:rFonts w:ascii="Calibri Light" w:hAnsi="Calibri Light" w:cs="Calibri"/>
        </w:rPr>
        <w:t>.</w:t>
      </w:r>
      <w:r w:rsidRPr="6037DF37">
        <w:rPr>
          <w:rFonts w:ascii="Calibri Light" w:hAnsi="Calibri Light" w:cs="Calibri"/>
        </w:rPr>
        <w:t xml:space="preserve">  </w:t>
      </w:r>
      <w:r w:rsidR="5C62D486" w:rsidRPr="6037DF37">
        <w:rPr>
          <w:rFonts w:ascii="Calibri Light" w:hAnsi="Calibri Light" w:cs="Calibri"/>
        </w:rPr>
        <w:t>O</w:t>
      </w:r>
      <w:r w:rsidRPr="6037DF37">
        <w:rPr>
          <w:rFonts w:ascii="Calibri Light" w:hAnsi="Calibri Light" w:cs="Calibri"/>
        </w:rPr>
        <w:t xml:space="preserve">n the migration day (the day prior to the first day of the UC award) [CHILD’S NAME] </w:t>
      </w:r>
      <w:r w:rsidR="2521284D" w:rsidRPr="6037DF37">
        <w:rPr>
          <w:rFonts w:ascii="Calibri Light" w:hAnsi="Calibri Light" w:cs="Calibri"/>
        </w:rPr>
        <w:t xml:space="preserve">is a </w:t>
      </w:r>
      <w:r w:rsidRPr="6037DF37">
        <w:rPr>
          <w:rFonts w:ascii="Calibri Light" w:hAnsi="Calibri Light" w:cs="Calibri"/>
        </w:rPr>
        <w:t>qualifying young person</w:t>
      </w:r>
      <w:r w:rsidR="74DD14C1" w:rsidRPr="6037DF37">
        <w:rPr>
          <w:rFonts w:ascii="Calibri Light" w:hAnsi="Calibri Light" w:cs="Calibri"/>
        </w:rPr>
        <w:t xml:space="preserve"> for the purposes of tax credits</w:t>
      </w:r>
      <w:r w:rsidRPr="6037DF37">
        <w:rPr>
          <w:rFonts w:ascii="Calibri Light" w:hAnsi="Calibri Light" w:cs="Calibri"/>
        </w:rPr>
        <w:t>. This is because they continued to receive non-advanced education where the course began before attaining the age of 19.</w:t>
      </w:r>
    </w:p>
    <w:p w14:paraId="1F827E62" w14:textId="65C28A5B" w:rsidR="00507876" w:rsidRDefault="009013B6" w:rsidP="00507876">
      <w:pPr>
        <w:numPr>
          <w:ilvl w:val="0"/>
          <w:numId w:val="1"/>
        </w:numPr>
        <w:spacing w:before="120" w:after="240" w:line="360" w:lineRule="auto"/>
        <w:jc w:val="both"/>
        <w:rPr>
          <w:rFonts w:ascii="Calibri Light" w:hAnsi="Calibri Light" w:cs="Calibri"/>
        </w:rPr>
      </w:pPr>
      <w:proofErr w:type="gramStart"/>
      <w:r>
        <w:rPr>
          <w:rFonts w:ascii="Calibri Light" w:hAnsi="Calibri Light" w:cs="Calibri"/>
        </w:rPr>
        <w:t>Whereas,</w:t>
      </w:r>
      <w:proofErr w:type="gramEnd"/>
      <w:r>
        <w:rPr>
          <w:rFonts w:ascii="Calibri Light" w:hAnsi="Calibri Light" w:cs="Calibri"/>
        </w:rPr>
        <w:t xml:space="preserve"> r</w:t>
      </w:r>
      <w:r w:rsidR="00507876">
        <w:rPr>
          <w:rFonts w:ascii="Calibri Light" w:hAnsi="Calibri Light" w:cs="Calibri"/>
        </w:rPr>
        <w:t>eg</w:t>
      </w:r>
      <w:r w:rsidR="00B36FBC">
        <w:rPr>
          <w:rFonts w:ascii="Calibri Light" w:hAnsi="Calibri Light" w:cs="Calibri"/>
        </w:rPr>
        <w:t xml:space="preserve"> </w:t>
      </w:r>
      <w:r w:rsidR="00507876">
        <w:rPr>
          <w:rFonts w:ascii="Calibri Light" w:hAnsi="Calibri Light" w:cs="Calibri"/>
        </w:rPr>
        <w:t>5 of the UC Regs defines qualifying young person as follows:</w:t>
      </w:r>
    </w:p>
    <w:p w14:paraId="088E0734" w14:textId="77777777" w:rsidR="00507876" w:rsidRPr="009013B6" w:rsidRDefault="00507876" w:rsidP="00507876">
      <w:pPr>
        <w:spacing w:before="120" w:after="240" w:line="360" w:lineRule="auto"/>
        <w:ind w:left="360" w:firstLine="360"/>
        <w:jc w:val="both"/>
        <w:rPr>
          <w:rFonts w:ascii="Calibri Light" w:hAnsi="Calibri Light" w:cs="Calibri"/>
          <w:b/>
          <w:bCs/>
          <w:i/>
          <w:iCs/>
        </w:rPr>
      </w:pPr>
      <w:r w:rsidRPr="009013B6">
        <w:rPr>
          <w:rFonts w:ascii="Calibri Light" w:hAnsi="Calibri Light" w:cs="Calibri"/>
          <w:b/>
          <w:bCs/>
          <w:i/>
          <w:iCs/>
        </w:rPr>
        <w:t>Meaning of “qualifying young person”</w:t>
      </w:r>
    </w:p>
    <w:p w14:paraId="0885C9F6"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b/>
          <w:bCs/>
          <w:i/>
          <w:iCs/>
        </w:rPr>
        <w:t>5</w:t>
      </w:r>
      <w:r w:rsidRPr="009013B6">
        <w:rPr>
          <w:rFonts w:ascii="Calibri Light" w:hAnsi="Calibri Light" w:cs="Calibri"/>
          <w:i/>
          <w:iCs/>
        </w:rPr>
        <w:t>.—(1) A person who has reached the age of 16 but not the age of 20 is a qualifying young person for the purposes of Part 1 of the Act and these Regulations—</w:t>
      </w:r>
    </w:p>
    <w:p w14:paraId="48279938" w14:textId="150C4200" w:rsidR="00507876" w:rsidRPr="009013B6" w:rsidRDefault="00507876" w:rsidP="00507876">
      <w:pPr>
        <w:spacing w:before="120" w:after="240"/>
        <w:ind w:left="1440"/>
        <w:jc w:val="both"/>
        <w:rPr>
          <w:rFonts w:ascii="Calibri Light" w:hAnsi="Calibri Light" w:cs="Calibri"/>
          <w:i/>
          <w:iCs/>
        </w:rPr>
      </w:pPr>
      <w:r w:rsidRPr="009013B6">
        <w:rPr>
          <w:rFonts w:ascii="Calibri Light" w:hAnsi="Calibri Light" w:cs="Calibri"/>
          <w:i/>
          <w:iCs/>
        </w:rPr>
        <w:t>(a)</w:t>
      </w:r>
      <w:r w:rsidR="009013B6">
        <w:rPr>
          <w:rFonts w:ascii="Calibri Light" w:hAnsi="Calibri Light" w:cs="Calibri"/>
          <w:i/>
          <w:iCs/>
        </w:rPr>
        <w:t xml:space="preserve"> </w:t>
      </w:r>
      <w:r w:rsidRPr="009013B6">
        <w:rPr>
          <w:rFonts w:ascii="Calibri Light" w:hAnsi="Calibri Light" w:cs="Calibri"/>
          <w:i/>
          <w:iCs/>
        </w:rPr>
        <w:t xml:space="preserve">up to, but not including, the </w:t>
      </w:r>
      <w:proofErr w:type="gramStart"/>
      <w:r w:rsidRPr="009013B6">
        <w:rPr>
          <w:rFonts w:ascii="Calibri Light" w:hAnsi="Calibri Light" w:cs="Calibri"/>
          <w:i/>
          <w:iCs/>
        </w:rPr>
        <w:t>1st</w:t>
      </w:r>
      <w:proofErr w:type="gramEnd"/>
      <w:r w:rsidRPr="009013B6">
        <w:rPr>
          <w:rFonts w:ascii="Calibri Light" w:hAnsi="Calibri Light" w:cs="Calibri"/>
          <w:i/>
          <w:iCs/>
        </w:rPr>
        <w:t xml:space="preserve"> September following their 16th birthday; and</w:t>
      </w:r>
    </w:p>
    <w:p w14:paraId="3E5A44D5" w14:textId="124CAEE7" w:rsidR="00507876" w:rsidRPr="009013B6" w:rsidRDefault="00507876" w:rsidP="00507876">
      <w:pPr>
        <w:spacing w:before="120" w:after="240"/>
        <w:ind w:left="1440"/>
        <w:jc w:val="both"/>
        <w:rPr>
          <w:rFonts w:ascii="Calibri Light" w:hAnsi="Calibri Light" w:cs="Calibri"/>
          <w:i/>
          <w:iCs/>
        </w:rPr>
      </w:pPr>
      <w:r w:rsidRPr="009013B6">
        <w:rPr>
          <w:rFonts w:ascii="Calibri Light" w:hAnsi="Calibri Light" w:cs="Calibri"/>
          <w:i/>
          <w:iCs/>
        </w:rPr>
        <w:t>(b)</w:t>
      </w:r>
      <w:r w:rsidR="009013B6">
        <w:rPr>
          <w:rFonts w:ascii="Calibri Light" w:hAnsi="Calibri Light" w:cs="Calibri"/>
          <w:i/>
          <w:iCs/>
        </w:rPr>
        <w:t xml:space="preserve"> </w:t>
      </w:r>
      <w:r w:rsidRPr="009013B6">
        <w:rPr>
          <w:rFonts w:ascii="Calibri Light" w:hAnsi="Calibri Light" w:cs="Calibri"/>
          <w:i/>
          <w:iCs/>
        </w:rPr>
        <w:t xml:space="preserve">up to, but not including, the </w:t>
      </w:r>
      <w:proofErr w:type="gramStart"/>
      <w:r w:rsidRPr="009013B6">
        <w:rPr>
          <w:rFonts w:ascii="Calibri Light" w:hAnsi="Calibri Light" w:cs="Calibri"/>
          <w:i/>
          <w:iCs/>
        </w:rPr>
        <w:t>1st</w:t>
      </w:r>
      <w:proofErr w:type="gramEnd"/>
      <w:r w:rsidRPr="009013B6">
        <w:rPr>
          <w:rFonts w:ascii="Calibri Light" w:hAnsi="Calibri Light" w:cs="Calibri"/>
          <w:i/>
          <w:iCs/>
        </w:rPr>
        <w:t xml:space="preserve"> September following their 19th birthday, if they are enrolled on, or accepted for, approved training or a course of education—</w:t>
      </w:r>
    </w:p>
    <w:p w14:paraId="52468E0F" w14:textId="22DE9089" w:rsidR="00507876" w:rsidRPr="009013B6" w:rsidRDefault="00507876" w:rsidP="00507876">
      <w:pPr>
        <w:spacing w:before="120" w:after="240"/>
        <w:ind w:left="2160"/>
        <w:jc w:val="both"/>
        <w:rPr>
          <w:rFonts w:ascii="Calibri Light" w:hAnsi="Calibri Light" w:cs="Calibri"/>
          <w:i/>
          <w:iCs/>
        </w:rPr>
      </w:pPr>
      <w:r w:rsidRPr="009013B6">
        <w:rPr>
          <w:rFonts w:ascii="Calibri Light" w:hAnsi="Calibri Light" w:cs="Calibri"/>
          <w:i/>
          <w:iCs/>
        </w:rPr>
        <w:t>(</w:t>
      </w:r>
      <w:proofErr w:type="spellStart"/>
      <w:r w:rsidRPr="009013B6">
        <w:rPr>
          <w:rFonts w:ascii="Calibri Light" w:hAnsi="Calibri Light" w:cs="Calibri"/>
          <w:i/>
          <w:iCs/>
        </w:rPr>
        <w:t>i</w:t>
      </w:r>
      <w:proofErr w:type="spellEnd"/>
      <w:r w:rsidRPr="009013B6">
        <w:rPr>
          <w:rFonts w:ascii="Calibri Light" w:hAnsi="Calibri Light" w:cs="Calibri"/>
          <w:i/>
          <w:iCs/>
        </w:rPr>
        <w:t>)</w:t>
      </w:r>
      <w:r w:rsidR="009013B6">
        <w:rPr>
          <w:rFonts w:ascii="Calibri Light" w:hAnsi="Calibri Light" w:cs="Calibri"/>
          <w:i/>
          <w:iCs/>
        </w:rPr>
        <w:t xml:space="preserve"> </w:t>
      </w:r>
      <w:r w:rsidRPr="009013B6">
        <w:rPr>
          <w:rFonts w:ascii="Calibri Light" w:hAnsi="Calibri Light" w:cs="Calibri"/>
          <w:i/>
          <w:iCs/>
        </w:rPr>
        <w:t>which is not a course of advanced education,</w:t>
      </w:r>
    </w:p>
    <w:p w14:paraId="373BEE78" w14:textId="4F5BAF96" w:rsidR="00507876" w:rsidRPr="009013B6" w:rsidRDefault="00507876" w:rsidP="00507876">
      <w:pPr>
        <w:spacing w:before="120" w:after="240"/>
        <w:ind w:left="2160"/>
        <w:jc w:val="both"/>
        <w:rPr>
          <w:rFonts w:ascii="Calibri Light" w:hAnsi="Calibri Light" w:cs="Calibri"/>
          <w:i/>
          <w:iCs/>
        </w:rPr>
      </w:pPr>
      <w:r w:rsidRPr="009013B6">
        <w:rPr>
          <w:rFonts w:ascii="Calibri Light" w:hAnsi="Calibri Light" w:cs="Calibri"/>
          <w:i/>
          <w:iCs/>
        </w:rPr>
        <w:t>(ii)</w:t>
      </w:r>
      <w:r w:rsidR="009013B6">
        <w:rPr>
          <w:rFonts w:ascii="Calibri Light" w:hAnsi="Calibri Light" w:cs="Calibri"/>
          <w:i/>
          <w:iCs/>
        </w:rPr>
        <w:t xml:space="preserve"> </w:t>
      </w:r>
      <w:r w:rsidRPr="009013B6">
        <w:rPr>
          <w:rFonts w:ascii="Calibri Light" w:hAnsi="Calibri Light" w:cs="Calibri"/>
          <w:i/>
          <w:iCs/>
        </w:rPr>
        <w:t>which is provided at a school or college or provided elsewhere but approved by the Secretary of State, and</w:t>
      </w:r>
    </w:p>
    <w:p w14:paraId="2F9C420C" w14:textId="0B6BE2D7" w:rsidR="00507876" w:rsidRPr="009013B6" w:rsidRDefault="00507876" w:rsidP="00507876">
      <w:pPr>
        <w:spacing w:before="120" w:after="240"/>
        <w:ind w:left="2160"/>
        <w:jc w:val="both"/>
        <w:rPr>
          <w:rFonts w:ascii="Calibri Light" w:hAnsi="Calibri Light" w:cs="Calibri"/>
          <w:i/>
          <w:iCs/>
        </w:rPr>
      </w:pPr>
      <w:r w:rsidRPr="009013B6">
        <w:rPr>
          <w:rFonts w:ascii="Calibri Light" w:hAnsi="Calibri Light" w:cs="Calibri"/>
          <w:i/>
          <w:iCs/>
        </w:rPr>
        <w:t>(iii)</w:t>
      </w:r>
      <w:r w:rsidR="009013B6">
        <w:rPr>
          <w:rFonts w:ascii="Calibri Light" w:hAnsi="Calibri Light" w:cs="Calibri"/>
          <w:i/>
          <w:iCs/>
        </w:rPr>
        <w:t xml:space="preserve"> </w:t>
      </w:r>
      <w:r w:rsidRPr="009013B6">
        <w:rPr>
          <w:rFonts w:ascii="Calibri Light" w:hAnsi="Calibri Light" w:cs="Calibri"/>
          <w:i/>
          <w:iCs/>
        </w:rPr>
        <w:t>where the average time spent during term time in receiving tuition, engaging in practical work or supervised study or taking examinations exceeds 12 hours per week.</w:t>
      </w:r>
    </w:p>
    <w:p w14:paraId="01DDBBEF"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(2) Where the young person is aged 19, they must have started the education or training or been enrolled on or accepted for it before reaching that age.</w:t>
      </w:r>
    </w:p>
    <w:p w14:paraId="08313597"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(3) The education or training referred to in paragraph (1) does not include education or training provided by means of a contract of employment.</w:t>
      </w:r>
    </w:p>
    <w:p w14:paraId="6EE198EE"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(4) “Approved training” means training in pursuance of arrangements made under section 2(1) of the Employment and Training Act 1973 or section 2(3) of the Enterprise and New Towns (Scotland) Act 1990 which is approved by the Secretary of State for the purposes of this regulation.</w:t>
      </w:r>
    </w:p>
    <w:p w14:paraId="1408F36B" w14:textId="77777777" w:rsidR="00507876" w:rsidRPr="009013B6" w:rsidRDefault="00507876" w:rsidP="00507876">
      <w:pPr>
        <w:spacing w:before="120" w:after="240"/>
        <w:ind w:left="720"/>
        <w:jc w:val="both"/>
        <w:rPr>
          <w:rFonts w:ascii="Calibri Light" w:hAnsi="Calibri Light" w:cs="Calibri"/>
          <w:i/>
          <w:iCs/>
        </w:rPr>
      </w:pPr>
      <w:r w:rsidRPr="009013B6">
        <w:rPr>
          <w:rFonts w:ascii="Calibri Light" w:hAnsi="Calibri Light" w:cs="Calibri"/>
          <w:i/>
          <w:iCs/>
        </w:rPr>
        <w:t>(5) A person who is receiving universal credit, an employment and support allowance or a jobseeker's allowance is not a qualifying young person.</w:t>
      </w:r>
    </w:p>
    <w:p w14:paraId="60061E4C" w14:textId="77777777" w:rsidR="004C35F5" w:rsidRDefault="004C35F5" w:rsidP="00507876">
      <w:pPr>
        <w:spacing w:before="120" w:after="240"/>
        <w:ind w:left="720"/>
        <w:jc w:val="both"/>
        <w:rPr>
          <w:rFonts w:ascii="Calibri Light" w:hAnsi="Calibri Light" w:cs="Calibri"/>
        </w:rPr>
      </w:pPr>
    </w:p>
    <w:p w14:paraId="6F143216" w14:textId="44EA014F" w:rsidR="004C35F5" w:rsidRDefault="0E4C3E0F" w:rsidP="00507876">
      <w:pPr>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Applying that to this case then </w:t>
      </w:r>
      <w:r w:rsidR="004C35F5" w:rsidRPr="6037DF37">
        <w:rPr>
          <w:rFonts w:ascii="Calibri Light" w:hAnsi="Calibri Light" w:cs="Calibri"/>
        </w:rPr>
        <w:t xml:space="preserve">on the </w:t>
      </w:r>
      <w:r w:rsidR="00BE7DE6" w:rsidRPr="6037DF37">
        <w:rPr>
          <w:rFonts w:ascii="Calibri Light" w:hAnsi="Calibri Light" w:cs="Calibri"/>
        </w:rPr>
        <w:t>migration day</w:t>
      </w:r>
      <w:r w:rsidR="004C35F5" w:rsidRPr="6037DF37">
        <w:rPr>
          <w:rFonts w:ascii="Calibri Light" w:hAnsi="Calibri Light" w:cs="Calibri"/>
        </w:rPr>
        <w:t xml:space="preserve"> [</w:t>
      </w:r>
      <w:r w:rsidR="006B09A6" w:rsidRPr="6037DF37">
        <w:rPr>
          <w:rFonts w:ascii="Calibri Light" w:hAnsi="Calibri Light" w:cs="Calibri"/>
        </w:rPr>
        <w:t>CHILD</w:t>
      </w:r>
      <w:r w:rsidR="004C35F5" w:rsidRPr="6037DF37">
        <w:rPr>
          <w:rFonts w:ascii="Calibri Light" w:hAnsi="Calibri Light" w:cs="Calibri"/>
        </w:rPr>
        <w:t xml:space="preserve">’S </w:t>
      </w:r>
      <w:r w:rsidR="006B09A6" w:rsidRPr="6037DF37">
        <w:rPr>
          <w:rFonts w:ascii="Calibri Light" w:hAnsi="Calibri Light" w:cs="Calibri"/>
        </w:rPr>
        <w:t>NAME</w:t>
      </w:r>
      <w:r w:rsidR="004C35F5" w:rsidRPr="6037DF37">
        <w:rPr>
          <w:rFonts w:ascii="Calibri Light" w:hAnsi="Calibri Light" w:cs="Calibri"/>
        </w:rPr>
        <w:t xml:space="preserve">] </w:t>
      </w:r>
      <w:r w:rsidR="0029138F" w:rsidRPr="6037DF37">
        <w:rPr>
          <w:rFonts w:ascii="Calibri Light" w:hAnsi="Calibri Light" w:cs="Calibri"/>
        </w:rPr>
        <w:t>did</w:t>
      </w:r>
      <w:r w:rsidR="004C35F5" w:rsidRPr="6037DF37">
        <w:rPr>
          <w:rFonts w:ascii="Calibri Light" w:hAnsi="Calibri Light" w:cs="Calibri"/>
        </w:rPr>
        <w:t xml:space="preserve"> not fall into the UC definition of ‘qualifying young person’. This is because</w:t>
      </w:r>
      <w:r w:rsidR="006B09A6" w:rsidRPr="6037DF37">
        <w:rPr>
          <w:rFonts w:ascii="Calibri Light" w:hAnsi="Calibri Light" w:cs="Calibri"/>
        </w:rPr>
        <w:t xml:space="preserve"> they had reached the 1</w:t>
      </w:r>
      <w:r w:rsidR="006B09A6" w:rsidRPr="6037DF37">
        <w:rPr>
          <w:rFonts w:ascii="Calibri Light" w:hAnsi="Calibri Light" w:cs="Calibri"/>
          <w:vertAlign w:val="superscript"/>
        </w:rPr>
        <w:t>st</w:t>
      </w:r>
      <w:r w:rsidR="006B09A6" w:rsidRPr="6037DF37">
        <w:rPr>
          <w:rFonts w:ascii="Calibri Light" w:hAnsi="Calibri Light" w:cs="Calibri"/>
        </w:rPr>
        <w:t xml:space="preserve"> of September following their 19</w:t>
      </w:r>
      <w:r w:rsidR="006B09A6" w:rsidRPr="6037DF37">
        <w:rPr>
          <w:rFonts w:ascii="Calibri Light" w:hAnsi="Calibri Light" w:cs="Calibri"/>
          <w:vertAlign w:val="superscript"/>
        </w:rPr>
        <w:t>th</w:t>
      </w:r>
      <w:r w:rsidR="006B09A6" w:rsidRPr="6037DF37">
        <w:rPr>
          <w:rFonts w:ascii="Calibri Light" w:hAnsi="Calibri Light" w:cs="Calibri"/>
        </w:rPr>
        <w:t xml:space="preserve"> birthday</w:t>
      </w:r>
      <w:r w:rsidR="004C35F5" w:rsidRPr="6037DF37">
        <w:rPr>
          <w:rFonts w:ascii="Calibri Light" w:hAnsi="Calibri Light" w:cs="Calibri"/>
        </w:rPr>
        <w:t>.</w:t>
      </w:r>
    </w:p>
    <w:p w14:paraId="44EAFD9C" w14:textId="77777777" w:rsidR="00507876" w:rsidRDefault="00507876" w:rsidP="007C5DF9">
      <w:pPr>
        <w:spacing w:before="120" w:after="240" w:line="360" w:lineRule="auto"/>
        <w:jc w:val="both"/>
        <w:rPr>
          <w:rFonts w:ascii="Calibri Light" w:hAnsi="Calibri Light" w:cs="Calibri"/>
          <w:b/>
          <w:bCs/>
          <w:u w:val="single"/>
        </w:rPr>
      </w:pPr>
    </w:p>
    <w:p w14:paraId="12768D88" w14:textId="3D7C4392" w:rsidR="00BE7DE6" w:rsidRPr="0029138F" w:rsidRDefault="0029138F" w:rsidP="6037DF37">
      <w:pPr>
        <w:spacing w:before="120" w:after="240" w:line="360" w:lineRule="auto"/>
        <w:jc w:val="both"/>
        <w:rPr>
          <w:rFonts w:ascii="Calibri Light" w:hAnsi="Calibri Light" w:cs="Calibri"/>
          <w:i/>
          <w:iCs/>
          <w:u w:val="single"/>
        </w:rPr>
      </w:pPr>
      <w:r w:rsidRPr="6037DF37">
        <w:rPr>
          <w:rFonts w:ascii="Calibri Light" w:hAnsi="Calibri Light" w:cs="Calibri"/>
          <w:i/>
          <w:iCs/>
          <w:u w:val="single"/>
        </w:rPr>
        <w:t>Second</w:t>
      </w:r>
      <w:r w:rsidR="00BE7DE6" w:rsidRPr="6037DF37">
        <w:rPr>
          <w:rFonts w:ascii="Calibri Light" w:hAnsi="Calibri Light" w:cs="Calibri"/>
          <w:i/>
          <w:iCs/>
          <w:u w:val="single"/>
        </w:rPr>
        <w:t xml:space="preserve"> – ‘qualifying young person’ and the </w:t>
      </w:r>
      <w:r w:rsidR="00193726">
        <w:rPr>
          <w:rFonts w:ascii="Calibri Light" w:hAnsi="Calibri Light" w:cs="Calibri"/>
          <w:i/>
          <w:iCs/>
          <w:u w:val="single"/>
        </w:rPr>
        <w:t>transitional element</w:t>
      </w:r>
    </w:p>
    <w:p w14:paraId="1849207E" w14:textId="308616B3" w:rsidR="002B4540" w:rsidRPr="00206FB7" w:rsidRDefault="00957313" w:rsidP="002B4540">
      <w:pPr>
        <w:numPr>
          <w:ilvl w:val="0"/>
          <w:numId w:val="1"/>
        </w:numPr>
        <w:spacing w:before="120" w:after="240" w:line="360" w:lineRule="auto"/>
        <w:jc w:val="both"/>
        <w:rPr>
          <w:rFonts w:ascii="Calibri Light" w:hAnsi="Calibri Light" w:cs="Calibri"/>
        </w:rPr>
      </w:pPr>
      <w:r>
        <w:rPr>
          <w:rFonts w:ascii="Calibri Light" w:hAnsi="Calibri Light" w:cs="Calibri"/>
        </w:rPr>
        <w:t>Reg</w:t>
      </w:r>
      <w:r w:rsidR="009013B6">
        <w:rPr>
          <w:rFonts w:ascii="Calibri Light" w:hAnsi="Calibri Light" w:cs="Calibri"/>
        </w:rPr>
        <w:t xml:space="preserve">ulation </w:t>
      </w:r>
      <w:r>
        <w:rPr>
          <w:rFonts w:ascii="Calibri Light" w:hAnsi="Calibri Light" w:cs="Calibri"/>
        </w:rPr>
        <w:t>5</w:t>
      </w:r>
      <w:r w:rsidR="002B4540">
        <w:rPr>
          <w:rFonts w:ascii="Calibri Light" w:hAnsi="Calibri Light" w:cs="Calibri"/>
        </w:rPr>
        <w:t>2</w:t>
      </w:r>
      <w:r>
        <w:rPr>
          <w:rFonts w:ascii="Calibri Light" w:hAnsi="Calibri Light" w:cs="Calibri"/>
        </w:rPr>
        <w:t xml:space="preserve"> </w:t>
      </w:r>
      <w:r w:rsidR="009013B6" w:rsidRPr="0029138F">
        <w:rPr>
          <w:rFonts w:ascii="Calibri Light" w:hAnsi="Calibri Light" w:cs="Calibri"/>
        </w:rPr>
        <w:t>TP Regs</w:t>
      </w:r>
      <w:r w:rsidR="002B4540">
        <w:rPr>
          <w:rFonts w:ascii="Calibri Light" w:hAnsi="Calibri Light" w:cs="Calibri"/>
        </w:rPr>
        <w:t xml:space="preserve"> states that a transitional element is to be included in the calculation of an award if ‘the total legacy amount’ (the amount determined in accordance with reg</w:t>
      </w:r>
      <w:r w:rsidR="00B70F84">
        <w:rPr>
          <w:rFonts w:ascii="Calibri Light" w:hAnsi="Calibri Light" w:cs="Calibri"/>
        </w:rPr>
        <w:t xml:space="preserve"> </w:t>
      </w:r>
      <w:r w:rsidR="002B4540">
        <w:rPr>
          <w:rFonts w:ascii="Calibri Light" w:hAnsi="Calibri Light" w:cs="Calibri"/>
        </w:rPr>
        <w:t>53 TP Regs) is greater than ‘the indicative UC amount’ (the amount determined in accordance with reg</w:t>
      </w:r>
      <w:r w:rsidR="00B70F84">
        <w:rPr>
          <w:rFonts w:ascii="Calibri Light" w:hAnsi="Calibri Light" w:cs="Calibri"/>
        </w:rPr>
        <w:t xml:space="preserve"> </w:t>
      </w:r>
      <w:r w:rsidR="002B4540">
        <w:rPr>
          <w:rFonts w:ascii="Calibri Light" w:hAnsi="Calibri Light" w:cs="Calibri"/>
        </w:rPr>
        <w:t>54).</w:t>
      </w:r>
    </w:p>
    <w:p w14:paraId="3E722033" w14:textId="23218DCC" w:rsidR="006F5C6A" w:rsidRDefault="00EF17C0" w:rsidP="00E52571">
      <w:pPr>
        <w:numPr>
          <w:ilvl w:val="0"/>
          <w:numId w:val="1"/>
        </w:numPr>
        <w:spacing w:before="120" w:after="240" w:line="360" w:lineRule="auto"/>
        <w:jc w:val="both"/>
        <w:rPr>
          <w:rFonts w:ascii="Calibri Light" w:hAnsi="Calibri Light" w:cs="Calibri"/>
        </w:rPr>
      </w:pPr>
      <w:r>
        <w:rPr>
          <w:rFonts w:ascii="Calibri Light" w:hAnsi="Calibri Light" w:cs="Calibri"/>
        </w:rPr>
        <w:t>The relevant parts of r</w:t>
      </w:r>
      <w:r w:rsidR="006F5C6A">
        <w:rPr>
          <w:rFonts w:ascii="Calibri Light" w:hAnsi="Calibri Light" w:cs="Calibri"/>
        </w:rPr>
        <w:t>egulation 54 are as follows:</w:t>
      </w:r>
    </w:p>
    <w:p w14:paraId="7B3D6519" w14:textId="77777777" w:rsidR="006F5C6A" w:rsidRPr="009013B6" w:rsidRDefault="006F5C6A" w:rsidP="00CB7438">
      <w:pPr>
        <w:spacing w:before="120" w:after="240"/>
        <w:ind w:left="720"/>
        <w:jc w:val="both"/>
        <w:rPr>
          <w:rFonts w:ascii="Calibri Light" w:hAnsi="Calibri Light" w:cs="Calibri"/>
          <w:b/>
          <w:bCs/>
          <w:i/>
          <w:iCs/>
        </w:rPr>
      </w:pPr>
      <w:r w:rsidRPr="009013B6">
        <w:rPr>
          <w:rFonts w:ascii="Calibri Light" w:hAnsi="Calibri Light" w:cs="Calibri"/>
          <w:b/>
          <w:bCs/>
          <w:i/>
          <w:iCs/>
        </w:rPr>
        <w:t>The transitional element - indicative UC amount</w:t>
      </w:r>
    </w:p>
    <w:p w14:paraId="57DCBEBD" w14:textId="77777777" w:rsidR="006F5C6A" w:rsidRPr="009013B6" w:rsidRDefault="006F5C6A" w:rsidP="00CB7438">
      <w:pPr>
        <w:spacing w:before="120" w:after="240"/>
        <w:ind w:left="720"/>
        <w:jc w:val="both"/>
        <w:rPr>
          <w:rFonts w:ascii="Calibri Light" w:hAnsi="Calibri Light" w:cs="Calibri"/>
          <w:i/>
          <w:iCs/>
        </w:rPr>
      </w:pPr>
      <w:r w:rsidRPr="009013B6">
        <w:rPr>
          <w:rFonts w:ascii="Calibri Light" w:hAnsi="Calibri Light" w:cs="Calibri"/>
          <w:b/>
          <w:bCs/>
          <w:i/>
          <w:iCs/>
        </w:rPr>
        <w:t>54</w:t>
      </w:r>
      <w:r w:rsidRPr="009013B6">
        <w:rPr>
          <w:rFonts w:ascii="Calibri Light" w:hAnsi="Calibri Light" w:cs="Calibri"/>
          <w:i/>
          <w:iCs/>
        </w:rPr>
        <w:t>.—(1) The indicative UC amount is the amount to which a claimant would be entitled if an award of universal credit were calculated in accordance with section 8 of the Act by reference to the claimant’s circumstances on the migration day, applying the assumptions in paragraph (2).</w:t>
      </w:r>
    </w:p>
    <w:p w14:paraId="03DDCC3E" w14:textId="77777777" w:rsidR="006F5C6A" w:rsidRPr="009013B6" w:rsidRDefault="006F5C6A" w:rsidP="00CB7438">
      <w:pPr>
        <w:spacing w:before="120" w:after="240"/>
        <w:ind w:firstLine="720"/>
        <w:jc w:val="both"/>
        <w:rPr>
          <w:rFonts w:ascii="Calibri Light" w:hAnsi="Calibri Light" w:cs="Calibri"/>
          <w:i/>
          <w:iCs/>
        </w:rPr>
      </w:pPr>
      <w:r w:rsidRPr="009013B6">
        <w:rPr>
          <w:rFonts w:ascii="Calibri Light" w:hAnsi="Calibri Light" w:cs="Calibri"/>
          <w:i/>
          <w:iCs/>
        </w:rPr>
        <w:t>(2) The assumptions are—</w:t>
      </w:r>
    </w:p>
    <w:p w14:paraId="310A8A8C" w14:textId="40D5796F" w:rsidR="006F5C6A" w:rsidRPr="009013B6" w:rsidRDefault="006F5C6A" w:rsidP="00CB7438">
      <w:pPr>
        <w:spacing w:before="120" w:after="240"/>
        <w:ind w:left="1440"/>
        <w:jc w:val="both"/>
        <w:rPr>
          <w:rFonts w:ascii="Calibri Light" w:hAnsi="Calibri Light" w:cs="Calibri"/>
          <w:i/>
          <w:iCs/>
        </w:rPr>
      </w:pPr>
      <w:r w:rsidRPr="009013B6">
        <w:rPr>
          <w:rFonts w:ascii="Calibri Light" w:hAnsi="Calibri Light" w:cs="Calibri"/>
          <w:i/>
          <w:iCs/>
        </w:rPr>
        <w:t>(a)</w:t>
      </w:r>
      <w:r w:rsidR="009013B6">
        <w:rPr>
          <w:rFonts w:ascii="Calibri Light" w:hAnsi="Calibri Light" w:cs="Calibri"/>
          <w:i/>
          <w:iCs/>
        </w:rPr>
        <w:t xml:space="preserve"> </w:t>
      </w:r>
      <w:r w:rsidRPr="009013B6">
        <w:rPr>
          <w:rFonts w:ascii="Calibri Light" w:hAnsi="Calibri Light" w:cs="Calibri"/>
          <w:i/>
          <w:iCs/>
        </w:rPr>
        <w:t>if the claimant is entitled to an award of child tax credit, the claimant is responsible for any child or qualifying young person in respect of whom the individual element of child tax credit is payable;</w:t>
      </w:r>
    </w:p>
    <w:p w14:paraId="074A65D5" w14:textId="77777777" w:rsidR="006F5C6A" w:rsidRPr="009013B6" w:rsidRDefault="00EF17C0" w:rsidP="00CB7438">
      <w:pPr>
        <w:spacing w:before="120" w:after="240"/>
        <w:ind w:left="720"/>
        <w:jc w:val="both"/>
        <w:rPr>
          <w:rFonts w:ascii="Calibri Light" w:hAnsi="Calibri Light" w:cs="Calibri"/>
          <w:i/>
          <w:iCs/>
        </w:rPr>
      </w:pPr>
      <w:r w:rsidRPr="009013B6">
        <w:rPr>
          <w:rFonts w:ascii="Calibri Light" w:hAnsi="Calibri Light" w:cs="Calibri"/>
          <w:i/>
          <w:iCs/>
        </w:rPr>
        <w:t>[…]</w:t>
      </w:r>
    </w:p>
    <w:p w14:paraId="3B91FCF5" w14:textId="77777777" w:rsidR="006F5C6A" w:rsidRPr="009013B6" w:rsidRDefault="006F5C6A" w:rsidP="00CB7438">
      <w:pPr>
        <w:spacing w:before="120" w:after="240"/>
        <w:ind w:left="720"/>
        <w:jc w:val="both"/>
        <w:rPr>
          <w:rFonts w:ascii="Calibri Light" w:hAnsi="Calibri Light" w:cs="Calibri"/>
          <w:i/>
          <w:iCs/>
        </w:rPr>
      </w:pPr>
      <w:r w:rsidRPr="009013B6">
        <w:rPr>
          <w:rFonts w:ascii="Calibri Light" w:hAnsi="Calibri Light" w:cs="Calibri"/>
          <w:i/>
          <w:iCs/>
        </w:rPr>
        <w:t>(7) The calculation of the indicative UC amount is to be based on the information that is used for the purposes of calculating the total legacy amount, supplemented as necessary by such further information or evidence as the Secretary of State requires.</w:t>
      </w:r>
    </w:p>
    <w:p w14:paraId="3656B9AB" w14:textId="77777777" w:rsidR="00567E26" w:rsidRDefault="00567E26" w:rsidP="00CB7438">
      <w:pPr>
        <w:spacing w:before="120" w:after="240"/>
        <w:ind w:left="720"/>
        <w:jc w:val="both"/>
        <w:rPr>
          <w:rFonts w:ascii="Calibri Light" w:hAnsi="Calibri Light" w:cs="Calibri"/>
        </w:rPr>
      </w:pPr>
    </w:p>
    <w:p w14:paraId="146A2D7D" w14:textId="16D3DC00" w:rsidR="006D4414" w:rsidRDefault="00EF17C0" w:rsidP="006D4414">
      <w:pPr>
        <w:numPr>
          <w:ilvl w:val="0"/>
          <w:numId w:val="1"/>
        </w:numPr>
        <w:spacing w:before="120" w:after="240" w:line="360" w:lineRule="auto"/>
        <w:jc w:val="both"/>
        <w:rPr>
          <w:rFonts w:ascii="Calibri Light" w:hAnsi="Calibri Light" w:cs="Calibri"/>
        </w:rPr>
      </w:pPr>
      <w:r>
        <w:rPr>
          <w:rFonts w:ascii="Calibri Light" w:hAnsi="Calibri Light" w:cs="Calibri"/>
        </w:rPr>
        <w:t>R</w:t>
      </w:r>
      <w:r w:rsidR="006D4414">
        <w:rPr>
          <w:rFonts w:ascii="Calibri Light" w:hAnsi="Calibri Light" w:cs="Calibri"/>
        </w:rPr>
        <w:t>eg</w:t>
      </w:r>
      <w:r w:rsidR="009013B6">
        <w:rPr>
          <w:rFonts w:ascii="Calibri Light" w:hAnsi="Calibri Light" w:cs="Calibri"/>
        </w:rPr>
        <w:t xml:space="preserve">ulation </w:t>
      </w:r>
      <w:r w:rsidR="006D4414">
        <w:rPr>
          <w:rFonts w:ascii="Calibri Light" w:hAnsi="Calibri Light" w:cs="Calibri"/>
        </w:rPr>
        <w:t>54(2)(a) TP Regs requires that, in determining the indicative UC amount, the SSWP make the assumption that the claimant is responsible for specified qualifying young persons. The consequence of this assumption is that, where the assumption applies and a claimant is assumed to be responsible for a specified qualifying young person, the claimant will – when the SSWP calculates the amount to which the claimant would be entitled if an award of UC were calculated in accordance with section 8 of the Welfare Reform Act 2012 (per reg</w:t>
      </w:r>
      <w:r w:rsidR="00B70F84">
        <w:rPr>
          <w:rFonts w:ascii="Calibri Light" w:hAnsi="Calibri Light" w:cs="Calibri"/>
        </w:rPr>
        <w:t xml:space="preserve"> </w:t>
      </w:r>
      <w:r w:rsidR="006D4414">
        <w:rPr>
          <w:rFonts w:ascii="Calibri Light" w:hAnsi="Calibri Light" w:cs="Calibri"/>
        </w:rPr>
        <w:t>54(1) TP Regs) – have a child element included in the calculation in respect of the specified qualifying young person (per reg</w:t>
      </w:r>
      <w:r w:rsidR="00B70F84">
        <w:rPr>
          <w:rFonts w:ascii="Calibri Light" w:hAnsi="Calibri Light" w:cs="Calibri"/>
        </w:rPr>
        <w:t xml:space="preserve"> </w:t>
      </w:r>
      <w:r w:rsidR="006D4414">
        <w:rPr>
          <w:rFonts w:ascii="Calibri Light" w:hAnsi="Calibri Light" w:cs="Calibri"/>
        </w:rPr>
        <w:t>24(1) UC Regs).</w:t>
      </w:r>
    </w:p>
    <w:p w14:paraId="429A6141" w14:textId="77777777" w:rsidR="009E561D" w:rsidRDefault="009E561D" w:rsidP="006D4414">
      <w:pPr>
        <w:numPr>
          <w:ilvl w:val="0"/>
          <w:numId w:val="1"/>
        </w:numPr>
        <w:spacing w:before="120" w:after="240" w:line="360" w:lineRule="auto"/>
        <w:jc w:val="both"/>
        <w:rPr>
          <w:rFonts w:ascii="Calibri Light" w:hAnsi="Calibri Light" w:cs="Calibri"/>
        </w:rPr>
      </w:pPr>
      <w:r>
        <w:rPr>
          <w:rFonts w:ascii="Calibri Light" w:hAnsi="Calibri Light" w:cs="Calibri"/>
        </w:rPr>
        <w:t xml:space="preserve">If a child element is included in the calculation of the indicative UC amount in respect of a particular qualifying young person then that will </w:t>
      </w:r>
      <w:r w:rsidR="00EF17C0">
        <w:rPr>
          <w:rFonts w:ascii="Calibri Light" w:hAnsi="Calibri Light" w:cs="Calibri"/>
        </w:rPr>
        <w:t xml:space="preserve">increase the amount of the indicative UC amount relative to the total legacy amount, making </w:t>
      </w:r>
      <w:r>
        <w:rPr>
          <w:rFonts w:ascii="Calibri Light" w:hAnsi="Calibri Light" w:cs="Calibri"/>
        </w:rPr>
        <w:t>it less likely that the claimant qualifies for a transitional element (</w:t>
      </w:r>
      <w:r w:rsidR="0029138F">
        <w:rPr>
          <w:rFonts w:ascii="Calibri Light" w:hAnsi="Calibri Light" w:cs="Calibri"/>
        </w:rPr>
        <w:t>or</w:t>
      </w:r>
      <w:r>
        <w:rPr>
          <w:rFonts w:ascii="Calibri Light" w:hAnsi="Calibri Light" w:cs="Calibri"/>
        </w:rPr>
        <w:t>, if they do qualify for a transitional element, the amount that they qualify for will be much lower than it would have been were the child element not included in the calculation).</w:t>
      </w:r>
    </w:p>
    <w:p w14:paraId="032FA922" w14:textId="7E4C878E" w:rsidR="00B3559F" w:rsidRPr="009013B6" w:rsidRDefault="00B3559F" w:rsidP="009013B6">
      <w:pPr>
        <w:spacing w:before="120" w:after="240" w:line="360" w:lineRule="auto"/>
        <w:jc w:val="both"/>
        <w:rPr>
          <w:rFonts w:ascii="Calibri Light" w:hAnsi="Calibri Light" w:cs="Calibri"/>
          <w:i/>
          <w:iCs/>
          <w:u w:val="single"/>
        </w:rPr>
      </w:pPr>
      <w:r w:rsidRPr="009013B6">
        <w:rPr>
          <w:rFonts w:ascii="Calibri Light" w:hAnsi="Calibri Light" w:cs="Calibri"/>
          <w:i/>
          <w:iCs/>
          <w:u w:val="single"/>
        </w:rPr>
        <w:t xml:space="preserve">Third – SSWP has used wrong </w:t>
      </w:r>
      <w:r w:rsidR="009E742B" w:rsidRPr="009013B6">
        <w:rPr>
          <w:rFonts w:ascii="Calibri Light" w:hAnsi="Calibri Light" w:cs="Calibri"/>
          <w:i/>
          <w:iCs/>
          <w:u w:val="single"/>
        </w:rPr>
        <w:t xml:space="preserve">definition of ‘qualifying young person’ when calculating </w:t>
      </w:r>
      <w:r w:rsidRPr="009013B6">
        <w:rPr>
          <w:rFonts w:ascii="Calibri Light" w:hAnsi="Calibri Light" w:cs="Calibri"/>
          <w:i/>
          <w:iCs/>
          <w:u w:val="single"/>
        </w:rPr>
        <w:t xml:space="preserve">the transitional element </w:t>
      </w:r>
    </w:p>
    <w:p w14:paraId="2C87F311" w14:textId="76A03381" w:rsidR="00B3559F" w:rsidRDefault="00B3559F" w:rsidP="00B3559F">
      <w:pPr>
        <w:numPr>
          <w:ilvl w:val="0"/>
          <w:numId w:val="1"/>
        </w:numPr>
        <w:spacing w:before="120" w:after="240" w:line="360" w:lineRule="auto"/>
        <w:jc w:val="both"/>
        <w:rPr>
          <w:rFonts w:ascii="Calibri Light" w:hAnsi="Calibri Light" w:cs="Calibri"/>
        </w:rPr>
      </w:pPr>
      <w:r>
        <w:rPr>
          <w:rFonts w:ascii="Calibri Light" w:hAnsi="Calibri Light" w:cs="Calibri"/>
        </w:rPr>
        <w:t xml:space="preserve">References to ‘qualifying young person’ in the TP Regs, as </w:t>
      </w:r>
      <w:r w:rsidR="00EB74F8">
        <w:rPr>
          <w:rFonts w:ascii="Calibri Light" w:hAnsi="Calibri Light" w:cs="Calibri"/>
        </w:rPr>
        <w:t>defined by</w:t>
      </w:r>
      <w:r>
        <w:rPr>
          <w:rFonts w:ascii="Calibri Light" w:hAnsi="Calibri Light" w:cs="Calibri"/>
        </w:rPr>
        <w:t xml:space="preserve"> reg</w:t>
      </w:r>
      <w:r w:rsidR="00B70F84">
        <w:rPr>
          <w:rFonts w:ascii="Calibri Light" w:hAnsi="Calibri Light" w:cs="Calibri"/>
        </w:rPr>
        <w:t xml:space="preserve"> </w:t>
      </w:r>
      <w:r>
        <w:rPr>
          <w:rFonts w:ascii="Calibri Light" w:hAnsi="Calibri Light" w:cs="Calibri"/>
        </w:rPr>
        <w:t xml:space="preserve">2 TP Regs, have “the same meaning as in the Universal Credit Regulations, but see also regulation 28” (regulation 28 is not relevant in this case). ‘The Universal Credit Regulations’ </w:t>
      </w:r>
      <w:r w:rsidR="00EB74F8">
        <w:rPr>
          <w:rFonts w:ascii="Calibri Light" w:hAnsi="Calibri Light" w:cs="Calibri"/>
        </w:rPr>
        <w:t>are</w:t>
      </w:r>
      <w:r>
        <w:rPr>
          <w:rFonts w:ascii="Calibri Light" w:hAnsi="Calibri Light" w:cs="Calibri"/>
        </w:rPr>
        <w:t xml:space="preserve"> defined </w:t>
      </w:r>
      <w:r w:rsidR="00EB74F8">
        <w:rPr>
          <w:rFonts w:ascii="Calibri Light" w:hAnsi="Calibri Light" w:cs="Calibri"/>
        </w:rPr>
        <w:t>by</w:t>
      </w:r>
      <w:r>
        <w:rPr>
          <w:rFonts w:ascii="Calibri Light" w:hAnsi="Calibri Light" w:cs="Calibri"/>
        </w:rPr>
        <w:t xml:space="preserve"> reg</w:t>
      </w:r>
      <w:r w:rsidR="00B70F84">
        <w:rPr>
          <w:rFonts w:ascii="Calibri Light" w:hAnsi="Calibri Light" w:cs="Calibri"/>
        </w:rPr>
        <w:t xml:space="preserve"> </w:t>
      </w:r>
      <w:r>
        <w:rPr>
          <w:rFonts w:ascii="Calibri Light" w:hAnsi="Calibri Light" w:cs="Calibri"/>
        </w:rPr>
        <w:t xml:space="preserve">2 TP Regs as </w:t>
      </w:r>
      <w:r w:rsidR="00EB74F8">
        <w:rPr>
          <w:rFonts w:ascii="Calibri Light" w:hAnsi="Calibri Light" w:cs="Calibri"/>
        </w:rPr>
        <w:t>“</w:t>
      </w:r>
      <w:r>
        <w:rPr>
          <w:rFonts w:ascii="Calibri Light" w:hAnsi="Calibri Light" w:cs="Calibri"/>
        </w:rPr>
        <w:t>the Universal Credit Regulations 2013</w:t>
      </w:r>
      <w:r w:rsidR="00EB74F8">
        <w:rPr>
          <w:rFonts w:ascii="Calibri Light" w:hAnsi="Calibri Light" w:cs="Calibri"/>
        </w:rPr>
        <w:t>”</w:t>
      </w:r>
      <w:r>
        <w:rPr>
          <w:rFonts w:ascii="Calibri Light" w:hAnsi="Calibri Light" w:cs="Calibri"/>
        </w:rPr>
        <w:t xml:space="preserve"> (</w:t>
      </w:r>
      <w:r w:rsidR="00EB74F8">
        <w:rPr>
          <w:rFonts w:ascii="Calibri Light" w:hAnsi="Calibri Light" w:cs="Calibri"/>
        </w:rPr>
        <w:t xml:space="preserve">‘the </w:t>
      </w:r>
      <w:r>
        <w:rPr>
          <w:rFonts w:ascii="Calibri Light" w:hAnsi="Calibri Light" w:cs="Calibri"/>
        </w:rPr>
        <w:t>UC Regs</w:t>
      </w:r>
      <w:r w:rsidR="00EB74F8">
        <w:rPr>
          <w:rFonts w:ascii="Calibri Light" w:hAnsi="Calibri Light" w:cs="Calibri"/>
        </w:rPr>
        <w:t>’</w:t>
      </w:r>
      <w:r>
        <w:rPr>
          <w:rFonts w:ascii="Calibri Light" w:hAnsi="Calibri Light" w:cs="Calibri"/>
        </w:rPr>
        <w:t xml:space="preserve">). </w:t>
      </w:r>
    </w:p>
    <w:p w14:paraId="5B8B71F8" w14:textId="3D49A737" w:rsidR="00AB0745" w:rsidRDefault="5C4C6DA2" w:rsidP="006D4414">
      <w:pPr>
        <w:numPr>
          <w:ilvl w:val="0"/>
          <w:numId w:val="1"/>
        </w:numPr>
        <w:spacing w:before="120" w:after="240" w:line="360" w:lineRule="auto"/>
        <w:jc w:val="both"/>
        <w:rPr>
          <w:rFonts w:ascii="Calibri Light" w:hAnsi="Calibri Light" w:cs="Calibri"/>
        </w:rPr>
      </w:pPr>
      <w:r w:rsidRPr="6037DF37">
        <w:rPr>
          <w:rFonts w:ascii="Calibri Light" w:hAnsi="Calibri Light" w:cs="Calibri"/>
        </w:rPr>
        <w:t>However, t</w:t>
      </w:r>
      <w:r w:rsidR="00AB0745" w:rsidRPr="6037DF37">
        <w:rPr>
          <w:rFonts w:ascii="Calibri Light" w:hAnsi="Calibri Light" w:cs="Calibri"/>
        </w:rPr>
        <w:t>he phrase ‘qualifying young person’ in reg</w:t>
      </w:r>
      <w:r w:rsidR="00B70F84">
        <w:rPr>
          <w:rFonts w:ascii="Calibri Light" w:hAnsi="Calibri Light" w:cs="Calibri"/>
        </w:rPr>
        <w:t xml:space="preserve"> </w:t>
      </w:r>
      <w:r w:rsidR="00AB0745" w:rsidRPr="6037DF37">
        <w:rPr>
          <w:rFonts w:ascii="Calibri Light" w:hAnsi="Calibri Light" w:cs="Calibri"/>
        </w:rPr>
        <w:t>54(2)(a) TP Regs has the meaning set out at re</w:t>
      </w:r>
      <w:r w:rsidR="00B70F84">
        <w:rPr>
          <w:rFonts w:ascii="Calibri Light" w:hAnsi="Calibri Light" w:cs="Calibri"/>
        </w:rPr>
        <w:t xml:space="preserve">g </w:t>
      </w:r>
      <w:r w:rsidR="00AB0745" w:rsidRPr="6037DF37">
        <w:rPr>
          <w:rFonts w:ascii="Calibri Light" w:hAnsi="Calibri Light" w:cs="Calibri"/>
        </w:rPr>
        <w:t xml:space="preserve">2 TP Regs i.e. the meaning set out in the UC Regs. </w:t>
      </w:r>
      <w:r w:rsidR="006B09A6" w:rsidRPr="6037DF37">
        <w:rPr>
          <w:rFonts w:ascii="Calibri Light" w:hAnsi="Calibri Light" w:cs="Calibri"/>
        </w:rPr>
        <w:t>[CHILD’S NAME]</w:t>
      </w:r>
      <w:r w:rsidR="00AB0745" w:rsidRPr="6037DF37">
        <w:rPr>
          <w:rFonts w:ascii="Calibri Light" w:hAnsi="Calibri Light" w:cs="Calibri"/>
        </w:rPr>
        <w:t xml:space="preserve"> does not fall within that definition. This can be made clearer by incorporating the definition of qualifying young person into reg</w:t>
      </w:r>
      <w:r w:rsidR="00B70F84">
        <w:rPr>
          <w:rFonts w:ascii="Calibri Light" w:hAnsi="Calibri Light" w:cs="Calibri"/>
        </w:rPr>
        <w:t xml:space="preserve"> </w:t>
      </w:r>
      <w:r w:rsidR="00AB0745" w:rsidRPr="6037DF37">
        <w:rPr>
          <w:rFonts w:ascii="Calibri Light" w:hAnsi="Calibri Light" w:cs="Calibri"/>
        </w:rPr>
        <w:t>54(2)(a) TP Regs as follows:</w:t>
      </w:r>
    </w:p>
    <w:p w14:paraId="62C6E111" w14:textId="2AA6CC3D" w:rsidR="00AB0745" w:rsidRDefault="00AB0745" w:rsidP="00AB0745">
      <w:pPr>
        <w:numPr>
          <w:ilvl w:val="1"/>
          <w:numId w:val="1"/>
        </w:numPr>
        <w:spacing w:before="120" w:after="240" w:line="360" w:lineRule="auto"/>
        <w:jc w:val="both"/>
        <w:rPr>
          <w:rFonts w:ascii="Calibri Light" w:hAnsi="Calibri Light" w:cs="Calibri"/>
        </w:rPr>
      </w:pPr>
      <w:r>
        <w:rPr>
          <w:rFonts w:ascii="Calibri Light" w:hAnsi="Calibri Light" w:cs="Calibri"/>
        </w:rPr>
        <w:t>The correct reading of reg</w:t>
      </w:r>
      <w:r w:rsidR="00B70F84">
        <w:rPr>
          <w:rFonts w:ascii="Calibri Light" w:hAnsi="Calibri Light" w:cs="Calibri"/>
        </w:rPr>
        <w:t xml:space="preserve"> </w:t>
      </w:r>
      <w:r>
        <w:rPr>
          <w:rFonts w:ascii="Calibri Light" w:hAnsi="Calibri Light" w:cs="Calibri"/>
        </w:rPr>
        <w:t>54(2)(a) is as follows:</w:t>
      </w:r>
    </w:p>
    <w:p w14:paraId="085D3F08" w14:textId="77777777" w:rsidR="000A0C28" w:rsidRDefault="00AB0745" w:rsidP="00AB0745">
      <w:pPr>
        <w:spacing w:before="120" w:after="240"/>
        <w:ind w:left="720"/>
        <w:rPr>
          <w:rFonts w:ascii="Calibri Light" w:hAnsi="Calibri Light" w:cs="Calibri"/>
          <w:i/>
          <w:iCs/>
        </w:rPr>
      </w:pPr>
      <w:r w:rsidRPr="00AB0745">
        <w:rPr>
          <w:rFonts w:ascii="Calibri Light" w:hAnsi="Calibri Light" w:cs="Calibri"/>
          <w:i/>
          <w:iCs/>
        </w:rPr>
        <w:t xml:space="preserve">(2) The assumptions are – </w:t>
      </w:r>
    </w:p>
    <w:p w14:paraId="535F5D85" w14:textId="77777777" w:rsidR="00AB0745" w:rsidRPr="00AB0745" w:rsidRDefault="00AB0745" w:rsidP="00EB74F8">
      <w:pPr>
        <w:spacing w:before="120" w:after="240"/>
        <w:ind w:left="1440"/>
        <w:jc w:val="both"/>
        <w:rPr>
          <w:rFonts w:ascii="Calibri Light" w:hAnsi="Calibri Light" w:cs="Calibri"/>
          <w:i/>
          <w:iCs/>
        </w:rPr>
      </w:pPr>
      <w:r w:rsidRPr="00AB0745">
        <w:rPr>
          <w:rFonts w:ascii="Calibri Light" w:hAnsi="Calibri Light" w:cs="Calibri"/>
          <w:i/>
          <w:iCs/>
        </w:rPr>
        <w:t xml:space="preserve">(a) if the claimant is entitled to an award of child tax credit, the claimant is responsible for any child or qualifying young person </w:t>
      </w:r>
      <w:r w:rsidR="00EF17C0">
        <w:rPr>
          <w:rFonts w:ascii="Calibri Light" w:hAnsi="Calibri Light" w:cs="Calibri"/>
          <w:i/>
          <w:iCs/>
        </w:rPr>
        <w:t>[</w:t>
      </w:r>
      <w:r w:rsidRPr="00AB0745">
        <w:rPr>
          <w:rFonts w:ascii="Calibri Light" w:hAnsi="Calibri Light" w:cs="Calibri"/>
          <w:b/>
          <w:bCs/>
          <w:i/>
          <w:iCs/>
          <w:u w:val="single"/>
        </w:rPr>
        <w:t>as defined in the UC Regs</w:t>
      </w:r>
      <w:r w:rsidR="00EF17C0">
        <w:rPr>
          <w:rFonts w:ascii="Calibri Light" w:hAnsi="Calibri Light" w:cs="Calibri"/>
          <w:b/>
          <w:bCs/>
          <w:i/>
          <w:iCs/>
          <w:u w:val="single"/>
        </w:rPr>
        <w:t>]</w:t>
      </w:r>
      <w:r w:rsidRPr="00AB0745">
        <w:rPr>
          <w:rFonts w:ascii="Calibri Light" w:hAnsi="Calibri Light" w:cs="Calibri"/>
          <w:i/>
          <w:iCs/>
        </w:rPr>
        <w:t xml:space="preserve"> in respect of wh</w:t>
      </w:r>
      <w:r w:rsidR="000A0C28">
        <w:rPr>
          <w:rFonts w:ascii="Calibri Light" w:hAnsi="Calibri Light" w:cs="Calibri"/>
          <w:i/>
          <w:iCs/>
        </w:rPr>
        <w:t>o</w:t>
      </w:r>
      <w:r w:rsidRPr="00AB0745">
        <w:rPr>
          <w:rFonts w:ascii="Calibri Light" w:hAnsi="Calibri Light" w:cs="Calibri"/>
          <w:i/>
          <w:iCs/>
        </w:rPr>
        <w:t>m the individual element of child tax credit is payable;</w:t>
      </w:r>
    </w:p>
    <w:p w14:paraId="414EB11A" w14:textId="0A870CBA" w:rsidR="00AB0745" w:rsidRDefault="00AB0745" w:rsidP="00AB0745">
      <w:pPr>
        <w:numPr>
          <w:ilvl w:val="1"/>
          <w:numId w:val="1"/>
        </w:numPr>
        <w:spacing w:before="120" w:after="240" w:line="360" w:lineRule="auto"/>
        <w:jc w:val="both"/>
        <w:rPr>
          <w:rFonts w:ascii="Calibri Light" w:hAnsi="Calibri Light" w:cs="Calibri"/>
        </w:rPr>
      </w:pPr>
      <w:r>
        <w:rPr>
          <w:rFonts w:ascii="Calibri Light" w:hAnsi="Calibri Light" w:cs="Calibri"/>
        </w:rPr>
        <w:t>The incorrect reading of reg</w:t>
      </w:r>
      <w:r w:rsidR="00B70F84">
        <w:rPr>
          <w:rFonts w:ascii="Calibri Light" w:hAnsi="Calibri Light" w:cs="Calibri"/>
        </w:rPr>
        <w:t xml:space="preserve"> </w:t>
      </w:r>
      <w:r>
        <w:rPr>
          <w:rFonts w:ascii="Calibri Light" w:hAnsi="Calibri Light" w:cs="Calibri"/>
        </w:rPr>
        <w:t>54(2)(a) (which has been wrongly applied by the SSWP in this case) is as follows:</w:t>
      </w:r>
    </w:p>
    <w:p w14:paraId="56EEF4A4" w14:textId="77777777" w:rsidR="000A0C28" w:rsidRDefault="000A0C28" w:rsidP="000A0C28">
      <w:pPr>
        <w:spacing w:before="120" w:after="240"/>
        <w:ind w:left="720"/>
        <w:rPr>
          <w:rFonts w:ascii="Calibri Light" w:hAnsi="Calibri Light" w:cs="Calibri"/>
          <w:i/>
          <w:iCs/>
        </w:rPr>
      </w:pPr>
      <w:r w:rsidRPr="00AB0745">
        <w:rPr>
          <w:rFonts w:ascii="Calibri Light" w:hAnsi="Calibri Light" w:cs="Calibri"/>
          <w:i/>
          <w:iCs/>
        </w:rPr>
        <w:t xml:space="preserve">(2) The assumptions are – </w:t>
      </w:r>
    </w:p>
    <w:p w14:paraId="48657A1C" w14:textId="77777777" w:rsidR="000A0C28" w:rsidRDefault="000A0C28" w:rsidP="000A0C28">
      <w:pPr>
        <w:spacing w:before="120" w:after="240"/>
        <w:ind w:left="1440"/>
        <w:rPr>
          <w:rFonts w:ascii="Calibri Light" w:hAnsi="Calibri Light" w:cs="Calibri"/>
          <w:i/>
          <w:iCs/>
        </w:rPr>
      </w:pPr>
      <w:r w:rsidRPr="00AB0745">
        <w:rPr>
          <w:rFonts w:ascii="Calibri Light" w:hAnsi="Calibri Light" w:cs="Calibri"/>
          <w:i/>
          <w:iCs/>
        </w:rPr>
        <w:t xml:space="preserve">(a) if the claimant is entitled to an award of child tax credit, the claimant is responsible for any child or qualifying young person </w:t>
      </w:r>
      <w:r w:rsidR="00EF17C0">
        <w:rPr>
          <w:rFonts w:ascii="Calibri Light" w:hAnsi="Calibri Light" w:cs="Calibri"/>
          <w:i/>
          <w:iCs/>
        </w:rPr>
        <w:t>[</w:t>
      </w:r>
      <w:r w:rsidRPr="00AB0745">
        <w:rPr>
          <w:rFonts w:ascii="Calibri Light" w:hAnsi="Calibri Light" w:cs="Calibri"/>
          <w:b/>
          <w:bCs/>
          <w:i/>
          <w:iCs/>
          <w:u w:val="single"/>
        </w:rPr>
        <w:t xml:space="preserve">as defined in the </w:t>
      </w:r>
      <w:r>
        <w:rPr>
          <w:rFonts w:ascii="Calibri Light" w:hAnsi="Calibri Light" w:cs="Calibri"/>
          <w:b/>
          <w:bCs/>
          <w:i/>
          <w:iCs/>
          <w:u w:val="single"/>
        </w:rPr>
        <w:t>CTC</w:t>
      </w:r>
      <w:r w:rsidRPr="00AB0745">
        <w:rPr>
          <w:rFonts w:ascii="Calibri Light" w:hAnsi="Calibri Light" w:cs="Calibri"/>
          <w:b/>
          <w:bCs/>
          <w:i/>
          <w:iCs/>
          <w:u w:val="single"/>
        </w:rPr>
        <w:t xml:space="preserve"> Regs</w:t>
      </w:r>
      <w:r w:rsidR="00EF17C0">
        <w:rPr>
          <w:rFonts w:ascii="Calibri Light" w:hAnsi="Calibri Light" w:cs="Calibri"/>
          <w:b/>
          <w:bCs/>
          <w:i/>
          <w:iCs/>
          <w:u w:val="single"/>
        </w:rPr>
        <w:t>]</w:t>
      </w:r>
      <w:r w:rsidRPr="00AB0745">
        <w:rPr>
          <w:rFonts w:ascii="Calibri Light" w:hAnsi="Calibri Light" w:cs="Calibri"/>
          <w:i/>
          <w:iCs/>
        </w:rPr>
        <w:t xml:space="preserve"> in respect of wh</w:t>
      </w:r>
      <w:r>
        <w:rPr>
          <w:rFonts w:ascii="Calibri Light" w:hAnsi="Calibri Light" w:cs="Calibri"/>
          <w:i/>
          <w:iCs/>
        </w:rPr>
        <w:t>o</w:t>
      </w:r>
      <w:r w:rsidRPr="00AB0745">
        <w:rPr>
          <w:rFonts w:ascii="Calibri Light" w:hAnsi="Calibri Light" w:cs="Calibri"/>
          <w:i/>
          <w:iCs/>
        </w:rPr>
        <w:t>m the individual element of child tax credit is payable;</w:t>
      </w:r>
    </w:p>
    <w:p w14:paraId="4E742C83" w14:textId="77777777" w:rsidR="00EB74F8" w:rsidRPr="00AB0745" w:rsidRDefault="00EB74F8" w:rsidP="000A0C28">
      <w:pPr>
        <w:spacing w:before="120" w:after="240"/>
        <w:ind w:left="1440"/>
        <w:rPr>
          <w:rFonts w:ascii="Calibri Light" w:hAnsi="Calibri Light" w:cs="Calibri"/>
          <w:i/>
          <w:iCs/>
        </w:rPr>
      </w:pPr>
    </w:p>
    <w:p w14:paraId="3FE873C3" w14:textId="1B597B5F" w:rsidR="00AB0745" w:rsidRDefault="006B09A6" w:rsidP="000A0C28">
      <w:pPr>
        <w:numPr>
          <w:ilvl w:val="0"/>
          <w:numId w:val="1"/>
        </w:numPr>
        <w:spacing w:before="120" w:after="240" w:line="360" w:lineRule="auto"/>
        <w:jc w:val="both"/>
        <w:rPr>
          <w:rFonts w:ascii="Calibri Light" w:hAnsi="Calibri Light" w:cs="Calibri"/>
        </w:rPr>
      </w:pPr>
      <w:r>
        <w:rPr>
          <w:rFonts w:ascii="Calibri Light" w:hAnsi="Calibri Light" w:cs="Calibri"/>
        </w:rPr>
        <w:t>[CHILD’S NAME]</w:t>
      </w:r>
      <w:r w:rsidR="000A0C28">
        <w:rPr>
          <w:rFonts w:ascii="Calibri Light" w:hAnsi="Calibri Light" w:cs="Calibri"/>
        </w:rPr>
        <w:t xml:space="preserve"> is not a qualifying young person (</w:t>
      </w:r>
      <w:r w:rsidR="00EF17C0">
        <w:rPr>
          <w:rFonts w:ascii="Calibri Light" w:hAnsi="Calibri Light" w:cs="Calibri"/>
        </w:rPr>
        <w:t>as defined in the UC Regs</w:t>
      </w:r>
      <w:r w:rsidR="000A0C28">
        <w:rPr>
          <w:rFonts w:ascii="Calibri Light" w:hAnsi="Calibri Light" w:cs="Calibri"/>
        </w:rPr>
        <w:t xml:space="preserve">) in respect of whom the individual element of child tax credit is </w:t>
      </w:r>
      <w:r w:rsidR="00EF17C0">
        <w:rPr>
          <w:rFonts w:ascii="Calibri Light" w:hAnsi="Calibri Light" w:cs="Calibri"/>
        </w:rPr>
        <w:t>payable</w:t>
      </w:r>
      <w:r w:rsidR="000A0C28">
        <w:rPr>
          <w:rFonts w:ascii="Calibri Light" w:hAnsi="Calibri Light" w:cs="Calibri"/>
        </w:rPr>
        <w:t>. As such, the indicative UC amount should be calculated in accordance with reg</w:t>
      </w:r>
      <w:r w:rsidR="00B70F84">
        <w:rPr>
          <w:rFonts w:ascii="Calibri Light" w:hAnsi="Calibri Light" w:cs="Calibri"/>
        </w:rPr>
        <w:t xml:space="preserve"> </w:t>
      </w:r>
      <w:r w:rsidR="000A0C28">
        <w:rPr>
          <w:rFonts w:ascii="Calibri Light" w:hAnsi="Calibri Light" w:cs="Calibri"/>
        </w:rPr>
        <w:t>54(1)</w:t>
      </w:r>
      <w:r w:rsidR="0029138F">
        <w:rPr>
          <w:rFonts w:ascii="Calibri Light" w:hAnsi="Calibri Light" w:cs="Calibri"/>
        </w:rPr>
        <w:t xml:space="preserve"> and </w:t>
      </w:r>
      <w:r w:rsidR="005B69CE">
        <w:rPr>
          <w:rFonts w:ascii="Calibri Light" w:hAnsi="Calibri Light" w:cs="Calibri"/>
        </w:rPr>
        <w:t xml:space="preserve">the assumption at </w:t>
      </w:r>
      <w:r w:rsidR="000A0C28">
        <w:rPr>
          <w:rFonts w:ascii="Calibri Light" w:hAnsi="Calibri Light" w:cs="Calibri"/>
        </w:rPr>
        <w:t>reg</w:t>
      </w:r>
      <w:r w:rsidR="00B70F84">
        <w:rPr>
          <w:rFonts w:ascii="Calibri Light" w:hAnsi="Calibri Light" w:cs="Calibri"/>
        </w:rPr>
        <w:t xml:space="preserve"> </w:t>
      </w:r>
      <w:r w:rsidR="000A0C28">
        <w:rPr>
          <w:rFonts w:ascii="Calibri Light" w:hAnsi="Calibri Light" w:cs="Calibri"/>
        </w:rPr>
        <w:t>54(2)(a)</w:t>
      </w:r>
      <w:r w:rsidR="0029138F">
        <w:rPr>
          <w:rFonts w:ascii="Calibri Light" w:hAnsi="Calibri Light" w:cs="Calibri"/>
        </w:rPr>
        <w:t xml:space="preserve"> is irrelevant to the calculation</w:t>
      </w:r>
      <w:r w:rsidR="000A0C28">
        <w:rPr>
          <w:rFonts w:ascii="Calibri Light" w:hAnsi="Calibri Light" w:cs="Calibri"/>
        </w:rPr>
        <w:t>.</w:t>
      </w:r>
    </w:p>
    <w:p w14:paraId="7C7676C6" w14:textId="77777777" w:rsidR="009F0559" w:rsidRDefault="005B69CE" w:rsidP="00AB0745">
      <w:pPr>
        <w:numPr>
          <w:ilvl w:val="0"/>
          <w:numId w:val="1"/>
        </w:numPr>
        <w:spacing w:before="120" w:line="360" w:lineRule="auto"/>
        <w:rPr>
          <w:rFonts w:ascii="Calibri Light" w:hAnsi="Calibri Light" w:cs="Calibri"/>
        </w:rPr>
      </w:pPr>
      <w:r>
        <w:rPr>
          <w:rFonts w:ascii="Calibri Light" w:hAnsi="Calibri Light" w:cs="Calibri"/>
        </w:rPr>
        <w:t>Were the indicative UC amount to be calculated without the inclusion of a child element then [NAME] would [QUALIFY FOR A TRANSITIONAL ELEMENT / QUALIFY FOR A HIGHER TRANSITIONAL ELEMENT] [IF APPLICABLE - ENSURING THAT NAME IS NO WORSE OFF IN CASH TERMS AT THE POINT OF TRANSFER].</w:t>
      </w:r>
    </w:p>
    <w:p w14:paraId="049F31CB" w14:textId="77777777" w:rsidR="007E5E70" w:rsidRDefault="007E5E70" w:rsidP="00AB0745">
      <w:pPr>
        <w:spacing w:before="120" w:line="360" w:lineRule="auto"/>
        <w:rPr>
          <w:rFonts w:ascii="Calibri Light" w:hAnsi="Calibri Light" w:cs="Calibri"/>
        </w:rPr>
      </w:pPr>
    </w:p>
    <w:p w14:paraId="2B2A7A39" w14:textId="77777777" w:rsidR="007E5E70" w:rsidRPr="006B09A6" w:rsidRDefault="006B09A6" w:rsidP="00AB0745">
      <w:pPr>
        <w:spacing w:before="120" w:line="360" w:lineRule="auto"/>
        <w:rPr>
          <w:rFonts w:ascii="Calibri Light" w:hAnsi="Calibri Light" w:cs="Calibri"/>
          <w:b/>
          <w:bCs/>
          <w:u w:val="single"/>
        </w:rPr>
      </w:pPr>
      <w:r w:rsidRPr="006B09A6">
        <w:rPr>
          <w:rFonts w:ascii="Calibri Light" w:hAnsi="Calibri Light" w:cs="Calibri"/>
          <w:b/>
          <w:bCs/>
          <w:u w:val="single"/>
        </w:rPr>
        <w:t>Conclusion</w:t>
      </w:r>
    </w:p>
    <w:p w14:paraId="7F1F2C9D" w14:textId="52DEBB16" w:rsidR="005B69CE" w:rsidRDefault="005B69CE" w:rsidP="005B69CE">
      <w:pPr>
        <w:numPr>
          <w:ilvl w:val="0"/>
          <w:numId w:val="1"/>
        </w:numPr>
        <w:spacing w:before="120" w:after="240" w:line="360" w:lineRule="auto"/>
        <w:jc w:val="both"/>
        <w:rPr>
          <w:rFonts w:ascii="Calibri Light" w:hAnsi="Calibri Light" w:cs="Calibri"/>
        </w:rPr>
      </w:pPr>
      <w:r w:rsidRPr="6037DF37">
        <w:rPr>
          <w:rFonts w:ascii="Calibri Light" w:hAnsi="Calibri Light" w:cs="Calibri"/>
        </w:rPr>
        <w:t>The SSWP included a child element in respect of [NAME’S CHILD] in the indicative UC amount when she should not have done. The assumption at reg.</w:t>
      </w:r>
      <w:r w:rsidR="00B70F84">
        <w:rPr>
          <w:rFonts w:ascii="Calibri Light" w:hAnsi="Calibri Light" w:cs="Calibri"/>
        </w:rPr>
        <w:t xml:space="preserve"> </w:t>
      </w:r>
      <w:r w:rsidRPr="6037DF37">
        <w:rPr>
          <w:rFonts w:ascii="Calibri Light" w:hAnsi="Calibri Light" w:cs="Calibri"/>
        </w:rPr>
        <w:t xml:space="preserve">54(2)(a) TP Regs applies only </w:t>
      </w:r>
      <w:r w:rsidR="3537D4B0" w:rsidRPr="6037DF37">
        <w:rPr>
          <w:rFonts w:ascii="Calibri Light" w:hAnsi="Calibri Light" w:cs="Calibri"/>
        </w:rPr>
        <w:t xml:space="preserve">where the young person for whom the claimant gets a CTC child element is a </w:t>
      </w:r>
      <w:r w:rsidRPr="6037DF37">
        <w:rPr>
          <w:rFonts w:ascii="Calibri Light" w:hAnsi="Calibri Light" w:cs="Calibri"/>
        </w:rPr>
        <w:t>qualifying young person as defined in the UC Regs. [NAME’S] child is not a qualifying young person as defined in the UC Regs.</w:t>
      </w:r>
      <w:r w:rsidR="0089BAE5" w:rsidRPr="6037DF37">
        <w:rPr>
          <w:rFonts w:ascii="Calibri Light" w:hAnsi="Calibri Light" w:cs="Calibri"/>
        </w:rPr>
        <w:t xml:space="preserve"> The SSWP correctly worked out they were not a qualifying young person for the purposes of the UC award when it came to actually calculating the award (as opposed to the indicative amount).</w:t>
      </w:r>
    </w:p>
    <w:p w14:paraId="4303E0EA" w14:textId="2C89435B" w:rsidR="005B69CE" w:rsidRDefault="005B69CE" w:rsidP="005B69CE">
      <w:pPr>
        <w:numPr>
          <w:ilvl w:val="0"/>
          <w:numId w:val="1"/>
        </w:numPr>
        <w:spacing w:before="120" w:after="240" w:line="360" w:lineRule="auto"/>
        <w:jc w:val="both"/>
        <w:rPr>
          <w:rFonts w:ascii="Calibri Light" w:hAnsi="Calibri Light" w:cs="Calibri"/>
        </w:rPr>
      </w:pPr>
      <w:r w:rsidRPr="6037DF37">
        <w:rPr>
          <w:rFonts w:ascii="Calibri Light" w:hAnsi="Calibri Light" w:cs="Calibri"/>
        </w:rPr>
        <w:t xml:space="preserve">The result </w:t>
      </w:r>
      <w:r w:rsidR="47C46393" w:rsidRPr="6037DF37">
        <w:rPr>
          <w:rFonts w:ascii="Calibri Light" w:hAnsi="Calibri Light" w:cs="Calibri"/>
        </w:rPr>
        <w:t xml:space="preserve">of that error </w:t>
      </w:r>
      <w:r w:rsidRPr="6037DF37">
        <w:rPr>
          <w:rFonts w:ascii="Calibri Light" w:hAnsi="Calibri Light" w:cs="Calibri"/>
        </w:rPr>
        <w:t xml:space="preserve">is that [NAME’S] transitional element does not make up the shortfall between what [NAME] gets on UC and what they used to have on legacy benefits, </w:t>
      </w:r>
      <w:r w:rsidR="002D1B17" w:rsidRPr="6037DF37">
        <w:rPr>
          <w:rFonts w:ascii="Calibri Light" w:hAnsi="Calibri Light" w:cs="Calibri"/>
        </w:rPr>
        <w:t xml:space="preserve">thus – contrary to the longstanding policy intent - </w:t>
      </w:r>
      <w:r w:rsidRPr="6037DF37">
        <w:rPr>
          <w:rFonts w:ascii="Calibri Light" w:hAnsi="Calibri Light" w:cs="Calibri"/>
        </w:rPr>
        <w:t>leaving [NAME] worse off in cash terms at the point of transfer.</w:t>
      </w:r>
    </w:p>
    <w:p w14:paraId="2B40BDDA" w14:textId="77777777" w:rsidR="005B69CE" w:rsidRPr="00AE44B0" w:rsidRDefault="005B69CE" w:rsidP="005B69CE">
      <w:pPr>
        <w:numPr>
          <w:ilvl w:val="0"/>
          <w:numId w:val="1"/>
        </w:numPr>
        <w:spacing w:before="120" w:after="240" w:line="360" w:lineRule="auto"/>
        <w:jc w:val="both"/>
        <w:rPr>
          <w:rFonts w:ascii="Calibri Light" w:hAnsi="Calibri Light" w:cs="Calibri"/>
        </w:rPr>
      </w:pPr>
      <w:r>
        <w:rPr>
          <w:rFonts w:ascii="Calibri Light" w:hAnsi="Calibri Light" w:cs="Calibri"/>
        </w:rPr>
        <w:t>The tribunal must decide that the indicative UC amount was, by including a child element in the indicative UC amount in respect of [NAME’S CHILD], incorrectly calculated. Instead, the indicative UC amount must be calculated without the inclusion of a child element in [NAME’S] indicative UC amount in respect of [NAME’S CHILD].</w:t>
      </w:r>
      <w:r w:rsidR="002D1B17">
        <w:rPr>
          <w:rFonts w:ascii="Calibri Light" w:hAnsi="Calibri Light" w:cs="Calibri"/>
        </w:rPr>
        <w:t xml:space="preserve"> Such an approach will ensure an outcome consistent with the longstanding policy intent.</w:t>
      </w:r>
    </w:p>
    <w:p w14:paraId="53128261" w14:textId="77777777" w:rsidR="007E5E70" w:rsidRPr="007E5E70" w:rsidRDefault="007E5E70" w:rsidP="00AB0745">
      <w:pPr>
        <w:spacing w:before="120" w:line="360" w:lineRule="auto"/>
        <w:rPr>
          <w:rFonts w:ascii="Calibri Light" w:hAnsi="Calibri Light" w:cs="Calibri"/>
        </w:rPr>
      </w:pPr>
    </w:p>
    <w:p w14:paraId="6FD24791" w14:textId="77777777" w:rsidR="00CD1EE5" w:rsidRDefault="00206FB7" w:rsidP="00CD1EE5">
      <w:pPr>
        <w:spacing w:before="120" w:line="360" w:lineRule="auto"/>
        <w:jc w:val="right"/>
        <w:rPr>
          <w:rFonts w:ascii="Calibri Light" w:hAnsi="Calibri Light" w:cs="Calibri"/>
        </w:rPr>
      </w:pPr>
      <w:r>
        <w:rPr>
          <w:rFonts w:ascii="Calibri Light" w:hAnsi="Calibri Light" w:cs="Calibri"/>
        </w:rPr>
        <w:t>[REPRESENTATIVE’S NAME AND ORGANISATION]</w:t>
      </w:r>
    </w:p>
    <w:p w14:paraId="1097AF99" w14:textId="00AC1472" w:rsidR="00CD1EE5" w:rsidRDefault="00CD1EE5" w:rsidP="00CD1EE5">
      <w:pPr>
        <w:spacing w:before="120" w:line="360" w:lineRule="auto"/>
        <w:jc w:val="right"/>
        <w:rPr>
          <w:rFonts w:ascii="Calibri Light" w:hAnsi="Calibri Light" w:cs="Calibri"/>
        </w:rPr>
      </w:pPr>
      <w:r>
        <w:rPr>
          <w:rFonts w:ascii="Calibri Light" w:hAnsi="Calibri Light" w:cs="Calibri"/>
        </w:rPr>
        <w:fldChar w:fldCharType="begin"/>
      </w:r>
      <w:r>
        <w:rPr>
          <w:rFonts w:ascii="Calibri Light" w:hAnsi="Calibri Light" w:cs="Calibri"/>
        </w:rPr>
        <w:instrText xml:space="preserve"> DATE \@ "dd/MM/yyyy" </w:instrText>
      </w:r>
      <w:r>
        <w:rPr>
          <w:rFonts w:ascii="Calibri Light" w:hAnsi="Calibri Light" w:cs="Calibri"/>
        </w:rPr>
        <w:fldChar w:fldCharType="separate"/>
      </w:r>
      <w:r w:rsidR="00437620">
        <w:rPr>
          <w:rFonts w:ascii="Calibri Light" w:hAnsi="Calibri Light" w:cs="Calibri"/>
          <w:noProof/>
        </w:rPr>
        <w:t>01/10/2024</w:t>
      </w:r>
      <w:r>
        <w:rPr>
          <w:rFonts w:ascii="Calibri Light" w:hAnsi="Calibri Light" w:cs="Calibri"/>
        </w:rPr>
        <w:fldChar w:fldCharType="end"/>
      </w:r>
    </w:p>
    <w:p w14:paraId="4101652C" w14:textId="77777777" w:rsidR="007E5E70" w:rsidRPr="00CD1EE5" w:rsidRDefault="007E5E70" w:rsidP="005B69CE">
      <w:pPr>
        <w:spacing w:before="120" w:line="360" w:lineRule="auto"/>
        <w:rPr>
          <w:rFonts w:ascii="Calibri Light" w:hAnsi="Calibri Light" w:cs="Calibri"/>
        </w:rPr>
      </w:pPr>
    </w:p>
    <w:sectPr w:rsidR="007E5E70" w:rsidRPr="00CD1EE5">
      <w:headerReference w:type="even" r:id="rId12"/>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5913D" w14:textId="77777777" w:rsidR="00CF4BEA" w:rsidRDefault="00CF4BEA">
      <w:r>
        <w:separator/>
      </w:r>
    </w:p>
  </w:endnote>
  <w:endnote w:type="continuationSeparator" w:id="0">
    <w:p w14:paraId="485E2052" w14:textId="77777777" w:rsidR="00CF4BEA" w:rsidRDefault="00CF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E3D1" w14:textId="77777777" w:rsidR="00DE1A18" w:rsidRPr="00FB1CBA" w:rsidRDefault="00DE1A18">
    <w:pPr>
      <w:rPr>
        <w:sz w:val="20"/>
        <w:szCs w:val="20"/>
      </w:rPr>
    </w:pPr>
    <w:r>
      <w:t>_____________________________________________________________________</w:t>
    </w:r>
  </w:p>
  <w:tbl>
    <w:tblPr>
      <w:tblW w:w="0" w:type="auto"/>
      <w:tblLook w:val="01E0" w:firstRow="1" w:lastRow="1" w:firstColumn="1" w:lastColumn="1" w:noHBand="0" w:noVBand="0"/>
    </w:tblPr>
    <w:tblGrid>
      <w:gridCol w:w="3474"/>
      <w:gridCol w:w="3654"/>
      <w:gridCol w:w="1178"/>
    </w:tblGrid>
    <w:tr w:rsidR="00DE1A18" w:rsidRPr="00FB1CBA" w14:paraId="45A2F734" w14:textId="77777777" w:rsidTr="002209F7">
      <w:tc>
        <w:tcPr>
          <w:tcW w:w="3474" w:type="dxa"/>
          <w:shd w:val="clear" w:color="auto" w:fill="auto"/>
        </w:tcPr>
        <w:p w14:paraId="085A1FE5" w14:textId="77777777" w:rsidR="00DE1A18" w:rsidRPr="002209F7" w:rsidRDefault="00753007" w:rsidP="005C7E39">
          <w:pPr>
            <w:pStyle w:val="Header"/>
            <w:tabs>
              <w:tab w:val="clear" w:pos="4153"/>
              <w:tab w:val="clear" w:pos="8306"/>
            </w:tabs>
            <w:ind w:right="360"/>
            <w:rPr>
              <w:sz w:val="20"/>
              <w:szCs w:val="20"/>
            </w:rPr>
          </w:pPr>
          <w:r>
            <w:rPr>
              <w:sz w:val="20"/>
              <w:szCs w:val="20"/>
            </w:rPr>
            <w:t>[NAME]</w:t>
          </w:r>
        </w:p>
      </w:tc>
      <w:tc>
        <w:tcPr>
          <w:tcW w:w="3654" w:type="dxa"/>
          <w:shd w:val="clear" w:color="auto" w:fill="auto"/>
        </w:tcPr>
        <w:p w14:paraId="4B99056E" w14:textId="77777777" w:rsidR="00DE1A18" w:rsidRPr="002209F7" w:rsidRDefault="00DE1A18" w:rsidP="002209F7">
          <w:pPr>
            <w:pStyle w:val="Header"/>
            <w:tabs>
              <w:tab w:val="clear" w:pos="4153"/>
              <w:tab w:val="clear" w:pos="8306"/>
            </w:tabs>
            <w:ind w:right="360"/>
            <w:rPr>
              <w:sz w:val="20"/>
              <w:szCs w:val="20"/>
            </w:rPr>
          </w:pPr>
        </w:p>
      </w:tc>
      <w:tc>
        <w:tcPr>
          <w:tcW w:w="1178" w:type="dxa"/>
          <w:shd w:val="clear" w:color="auto" w:fill="auto"/>
        </w:tcPr>
        <w:p w14:paraId="34AC69F8" w14:textId="77777777" w:rsidR="00DE1A18" w:rsidRPr="002209F7" w:rsidRDefault="00DE1A18" w:rsidP="002209F7">
          <w:pPr>
            <w:pStyle w:val="Header"/>
            <w:tabs>
              <w:tab w:val="clear" w:pos="4153"/>
              <w:tab w:val="clear" w:pos="8306"/>
            </w:tabs>
            <w:ind w:right="360"/>
            <w:rPr>
              <w:sz w:val="20"/>
              <w:szCs w:val="20"/>
            </w:rPr>
          </w:pPr>
          <w:r w:rsidRPr="002209F7">
            <w:rPr>
              <w:sz w:val="20"/>
              <w:szCs w:val="20"/>
            </w:rPr>
            <w:t xml:space="preserve">Page: </w:t>
          </w:r>
          <w:r w:rsidRPr="002209F7">
            <w:rPr>
              <w:rStyle w:val="PageNumber"/>
              <w:sz w:val="20"/>
              <w:szCs w:val="20"/>
            </w:rPr>
            <w:fldChar w:fldCharType="begin"/>
          </w:r>
          <w:r w:rsidRPr="002209F7">
            <w:rPr>
              <w:rStyle w:val="PageNumber"/>
              <w:sz w:val="20"/>
              <w:szCs w:val="20"/>
            </w:rPr>
            <w:instrText xml:space="preserve">PAGE  </w:instrText>
          </w:r>
          <w:r w:rsidRPr="002209F7">
            <w:rPr>
              <w:rStyle w:val="PageNumber"/>
              <w:sz w:val="20"/>
              <w:szCs w:val="20"/>
            </w:rPr>
            <w:fldChar w:fldCharType="separate"/>
          </w:r>
          <w:r w:rsidR="0010128D">
            <w:rPr>
              <w:rStyle w:val="PageNumber"/>
              <w:noProof/>
              <w:sz w:val="20"/>
              <w:szCs w:val="20"/>
            </w:rPr>
            <w:t>6</w:t>
          </w:r>
          <w:r w:rsidRPr="002209F7">
            <w:rPr>
              <w:rStyle w:val="PageNumber"/>
              <w:sz w:val="20"/>
              <w:szCs w:val="20"/>
            </w:rPr>
            <w:fldChar w:fldCharType="end"/>
          </w:r>
        </w:p>
      </w:tc>
    </w:tr>
  </w:tbl>
  <w:p w14:paraId="1299C43A" w14:textId="77777777" w:rsidR="00DE1A18" w:rsidRPr="00FB1CBA" w:rsidRDefault="00DE1A18" w:rsidP="00FB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9D091" w14:textId="77777777" w:rsidR="00CF4BEA" w:rsidRDefault="00CF4BEA">
      <w:r>
        <w:separator/>
      </w:r>
    </w:p>
  </w:footnote>
  <w:footnote w:type="continuationSeparator" w:id="0">
    <w:p w14:paraId="4A6B95A9" w14:textId="77777777" w:rsidR="00CF4BEA" w:rsidRDefault="00CF4BEA">
      <w:r>
        <w:continuationSeparator/>
      </w:r>
    </w:p>
  </w:footnote>
  <w:footnote w:id="1">
    <w:p w14:paraId="086C06AC" w14:textId="77777777" w:rsidR="00862D7A" w:rsidRDefault="00862D7A" w:rsidP="00862D7A">
      <w:pPr>
        <w:pStyle w:val="FootnoteText"/>
      </w:pPr>
      <w:r>
        <w:rPr>
          <w:rStyle w:val="FootnoteReference"/>
        </w:rPr>
        <w:footnoteRef/>
      </w:r>
      <w:r>
        <w:t xml:space="preserve"> The process is set out in Part 4 of the Universal Credit (Transitional Provisions) Regulations 2014 and is briefly summarised in this article: </w:t>
      </w:r>
      <w:hyperlink r:id="rId1" w:history="1">
        <w:r w:rsidRPr="00FF01EA">
          <w:rPr>
            <w:rStyle w:val="Hyperlink"/>
          </w:rPr>
          <w:t>https://askcpag.org.uk/content/209694/managed-migration-moving-to-universal-credit</w:t>
        </w:r>
      </w:hyperlink>
      <w:r>
        <w:t xml:space="preserve"> </w:t>
      </w:r>
    </w:p>
  </w:footnote>
  <w:footnote w:id="2">
    <w:p w14:paraId="355EC275" w14:textId="77777777" w:rsidR="00A94C61" w:rsidRDefault="00A94C61">
      <w:pPr>
        <w:pStyle w:val="FootnoteText"/>
      </w:pPr>
      <w:r>
        <w:rPr>
          <w:rStyle w:val="FootnoteReference"/>
        </w:rPr>
        <w:footnoteRef/>
      </w:r>
      <w:r>
        <w:t xml:space="preserve"> For example:</w:t>
      </w:r>
    </w:p>
    <w:p w14:paraId="259387F4" w14:textId="77777777" w:rsidR="00A94C61" w:rsidRDefault="00A94C61" w:rsidP="00A94C61">
      <w:pPr>
        <w:pStyle w:val="FootnoteText"/>
        <w:numPr>
          <w:ilvl w:val="0"/>
          <w:numId w:val="8"/>
        </w:numPr>
      </w:pPr>
      <w:r>
        <w:t>“</w:t>
      </w:r>
      <w:r w:rsidRPr="001B713D">
        <w:t>No-one will experience a reduction in the benefit they are receiving as a result of the introduction of Universal Credit. At the point of transition onto the new system, those households whose circumstances remain unchanged and who would otherwise</w:t>
      </w:r>
      <w:r>
        <w:t xml:space="preserve"> </w:t>
      </w:r>
      <w:r w:rsidRPr="001B713D">
        <w:t>experience a reduction in income will receive cash protection</w:t>
      </w:r>
      <w:r>
        <w:t xml:space="preserve">” </w:t>
      </w:r>
      <w:hyperlink r:id="rId2" w:history="1">
        <w:r w:rsidRPr="00DE70A4">
          <w:rPr>
            <w:rStyle w:val="Hyperlink"/>
          </w:rPr>
          <w:t>https://www.gov.uk/government/publications/universal-credit-welfare-that-works</w:t>
        </w:r>
      </w:hyperlink>
      <w:r>
        <w:t xml:space="preserve"> </w:t>
      </w:r>
    </w:p>
    <w:p w14:paraId="3640DE0A" w14:textId="77777777" w:rsidR="00A94C61" w:rsidRPr="00A94C61" w:rsidRDefault="00A94C61" w:rsidP="00A94C61">
      <w:pPr>
        <w:pStyle w:val="FootnoteText"/>
        <w:numPr>
          <w:ilvl w:val="0"/>
          <w:numId w:val="8"/>
        </w:numPr>
        <w:rPr>
          <w:rStyle w:val="Hyperlink"/>
          <w:color w:val="auto"/>
          <w:u w:val="none"/>
        </w:rPr>
      </w:pPr>
      <w:r>
        <w:t>“</w:t>
      </w:r>
      <w:r w:rsidRPr="00453C57">
        <w:t>At the point of moving over to Universal Credit (for those claimants moving through the managed migration process), legacy benefit claimants will be assessed for transitional protection and paid where appropriate. The aim of this temporary payment is to maintain benefit entitlement at the point of transition</w:t>
      </w:r>
      <w:r>
        <w:t xml:space="preserve"> […]” </w:t>
      </w:r>
      <w:hyperlink r:id="rId3" w:history="1">
        <w:r w:rsidRPr="00E209E9">
          <w:rPr>
            <w:rStyle w:val="Hyperlink"/>
          </w:rPr>
          <w:t>https://www.gov.uk/government/publications/the-universal-credit-transitional-provisions-amendment-regulations-2022</w:t>
        </w:r>
      </w:hyperlink>
      <w:r>
        <w:rPr>
          <w:rStyle w:val="Hyperlink"/>
        </w:rPr>
        <w:t xml:space="preserve"> </w:t>
      </w:r>
    </w:p>
    <w:p w14:paraId="03042357" w14:textId="77777777" w:rsidR="00A94C61" w:rsidRDefault="00A94C61" w:rsidP="00A94C61">
      <w:pPr>
        <w:pStyle w:val="FootnoteText"/>
        <w:numPr>
          <w:ilvl w:val="0"/>
          <w:numId w:val="8"/>
        </w:numPr>
      </w:pPr>
      <w:r>
        <w:t>“</w:t>
      </w:r>
      <w:r w:rsidRPr="00A94C61">
        <w:t>The Government has given a commitment that, at the point of transition, no eligible customers who are invited to ‘Move to Universal Credit’ and whose circumstances remain the same will have a lower entitlement to Universal Credit than they had to legacy benefits. Where necessary, eligible customers will be awarded Transitional Protection.</w:t>
      </w:r>
      <w:r>
        <w:t xml:space="preserve">” </w:t>
      </w:r>
      <w:hyperlink r:id="rId4" w:history="1">
        <w:r w:rsidRPr="00DE70A4">
          <w:rPr>
            <w:rStyle w:val="Hyperlink"/>
          </w:rPr>
          <w:t>https://questions-statements.parliament.uk/written-statements/detail/2024-05-21/hcws485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DE1A18" w:rsidRDefault="00DE1A18" w:rsidP="000008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1D779" w14:textId="77777777" w:rsidR="00DE1A18" w:rsidRDefault="00DE1A18" w:rsidP="005F13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DE1A18" w:rsidRDefault="00DE1A18" w:rsidP="005F13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35E85"/>
    <w:multiLevelType w:val="hybridMultilevel"/>
    <w:tmpl w:val="60063EE6"/>
    <w:lvl w:ilvl="0" w:tplc="A992F116">
      <w:start w:val="1"/>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046D20"/>
    <w:multiLevelType w:val="hybridMultilevel"/>
    <w:tmpl w:val="61AC6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84A2D"/>
    <w:multiLevelType w:val="multilevel"/>
    <w:tmpl w:val="30582E46"/>
    <w:lvl w:ilvl="0">
      <w:start w:val="1"/>
      <w:numFmt w:val="decimal"/>
      <w:lvlText w:val="%1."/>
      <w:lvlJc w:val="left"/>
      <w:pPr>
        <w:tabs>
          <w:tab w:val="num" w:pos="360"/>
        </w:tabs>
        <w:ind w:left="360" w:hanging="360"/>
      </w:pPr>
      <w:rPr>
        <w:rFonts w:hint="default"/>
        <w:i w:val="0"/>
        <w:iCs/>
      </w:rPr>
    </w:lvl>
    <w:lvl w:ilvl="1">
      <w:start w:val="1"/>
      <w:numFmt w:val="lowerLetter"/>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E190691"/>
    <w:multiLevelType w:val="hybridMultilevel"/>
    <w:tmpl w:val="4178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32451"/>
    <w:multiLevelType w:val="hybridMultilevel"/>
    <w:tmpl w:val="C6543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5168A6"/>
    <w:multiLevelType w:val="hybridMultilevel"/>
    <w:tmpl w:val="095C9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D18D9"/>
    <w:multiLevelType w:val="hybridMultilevel"/>
    <w:tmpl w:val="3202CAC0"/>
    <w:lvl w:ilvl="0" w:tplc="829AC9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A80055"/>
    <w:multiLevelType w:val="hybridMultilevel"/>
    <w:tmpl w:val="B4E8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4F32B1"/>
    <w:multiLevelType w:val="hybridMultilevel"/>
    <w:tmpl w:val="6D7CA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226651">
    <w:abstractNumId w:val="2"/>
  </w:num>
  <w:num w:numId="2" w16cid:durableId="821385635">
    <w:abstractNumId w:val="6"/>
  </w:num>
  <w:num w:numId="3" w16cid:durableId="327560521">
    <w:abstractNumId w:val="4"/>
  </w:num>
  <w:num w:numId="4" w16cid:durableId="1943486879">
    <w:abstractNumId w:val="0"/>
  </w:num>
  <w:num w:numId="5" w16cid:durableId="549922759">
    <w:abstractNumId w:val="1"/>
  </w:num>
  <w:num w:numId="6" w16cid:durableId="1217089901">
    <w:abstractNumId w:val="8"/>
  </w:num>
  <w:num w:numId="7" w16cid:durableId="36706940">
    <w:abstractNumId w:val="7"/>
  </w:num>
  <w:num w:numId="8" w16cid:durableId="895776035">
    <w:abstractNumId w:val="3"/>
  </w:num>
  <w:num w:numId="9" w16cid:durableId="1043480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F7"/>
    <w:rsid w:val="00000857"/>
    <w:rsid w:val="00010E63"/>
    <w:rsid w:val="00024DC6"/>
    <w:rsid w:val="000360FF"/>
    <w:rsid w:val="00037912"/>
    <w:rsid w:val="00043F86"/>
    <w:rsid w:val="0005274B"/>
    <w:rsid w:val="0005556A"/>
    <w:rsid w:val="0006672D"/>
    <w:rsid w:val="0007508D"/>
    <w:rsid w:val="00076D9A"/>
    <w:rsid w:val="00083D98"/>
    <w:rsid w:val="0008647D"/>
    <w:rsid w:val="000866AB"/>
    <w:rsid w:val="00092DA8"/>
    <w:rsid w:val="000944BB"/>
    <w:rsid w:val="000A0C28"/>
    <w:rsid w:val="000B4278"/>
    <w:rsid w:val="0010128D"/>
    <w:rsid w:val="00120669"/>
    <w:rsid w:val="00145618"/>
    <w:rsid w:val="00146C53"/>
    <w:rsid w:val="001572EC"/>
    <w:rsid w:val="001576C9"/>
    <w:rsid w:val="00193726"/>
    <w:rsid w:val="001A245D"/>
    <w:rsid w:val="001C7536"/>
    <w:rsid w:val="001D7990"/>
    <w:rsid w:val="001E233E"/>
    <w:rsid w:val="00206FB7"/>
    <w:rsid w:val="002149F0"/>
    <w:rsid w:val="002209F7"/>
    <w:rsid w:val="0022152D"/>
    <w:rsid w:val="0023471F"/>
    <w:rsid w:val="00240C12"/>
    <w:rsid w:val="00245941"/>
    <w:rsid w:val="002636DF"/>
    <w:rsid w:val="00263B1A"/>
    <w:rsid w:val="00283E97"/>
    <w:rsid w:val="0029138F"/>
    <w:rsid w:val="002B034E"/>
    <w:rsid w:val="002B4540"/>
    <w:rsid w:val="002B6E22"/>
    <w:rsid w:val="002C47FE"/>
    <w:rsid w:val="002D1785"/>
    <w:rsid w:val="002D1B17"/>
    <w:rsid w:val="002D7279"/>
    <w:rsid w:val="002F391F"/>
    <w:rsid w:val="0031666C"/>
    <w:rsid w:val="0032109D"/>
    <w:rsid w:val="00323F58"/>
    <w:rsid w:val="003464DA"/>
    <w:rsid w:val="00377133"/>
    <w:rsid w:val="00394E36"/>
    <w:rsid w:val="003969C2"/>
    <w:rsid w:val="003978FB"/>
    <w:rsid w:val="003A6452"/>
    <w:rsid w:val="003C78A3"/>
    <w:rsid w:val="003C7CC0"/>
    <w:rsid w:val="003E3660"/>
    <w:rsid w:val="00402F3E"/>
    <w:rsid w:val="00421935"/>
    <w:rsid w:val="00424106"/>
    <w:rsid w:val="00424864"/>
    <w:rsid w:val="00427AD2"/>
    <w:rsid w:val="00430940"/>
    <w:rsid w:val="00437620"/>
    <w:rsid w:val="004549B8"/>
    <w:rsid w:val="00455941"/>
    <w:rsid w:val="00473397"/>
    <w:rsid w:val="0049281E"/>
    <w:rsid w:val="004C35F5"/>
    <w:rsid w:val="004D351E"/>
    <w:rsid w:val="004E3323"/>
    <w:rsid w:val="00507876"/>
    <w:rsid w:val="00542C0C"/>
    <w:rsid w:val="0055230A"/>
    <w:rsid w:val="00567E26"/>
    <w:rsid w:val="005717CA"/>
    <w:rsid w:val="00577A8C"/>
    <w:rsid w:val="00586445"/>
    <w:rsid w:val="005A5A94"/>
    <w:rsid w:val="005B69CE"/>
    <w:rsid w:val="005C7E39"/>
    <w:rsid w:val="005D0A54"/>
    <w:rsid w:val="005D0F22"/>
    <w:rsid w:val="005D50EC"/>
    <w:rsid w:val="005D736E"/>
    <w:rsid w:val="005E5E44"/>
    <w:rsid w:val="005F13A7"/>
    <w:rsid w:val="00603545"/>
    <w:rsid w:val="006249E4"/>
    <w:rsid w:val="006256F7"/>
    <w:rsid w:val="00632373"/>
    <w:rsid w:val="00650593"/>
    <w:rsid w:val="00662B87"/>
    <w:rsid w:val="00690EA5"/>
    <w:rsid w:val="006917C8"/>
    <w:rsid w:val="006940B0"/>
    <w:rsid w:val="006A4F1A"/>
    <w:rsid w:val="006B09A6"/>
    <w:rsid w:val="006C2115"/>
    <w:rsid w:val="006C42BE"/>
    <w:rsid w:val="006D4414"/>
    <w:rsid w:val="006E14B3"/>
    <w:rsid w:val="006E5D8E"/>
    <w:rsid w:val="006E5EDD"/>
    <w:rsid w:val="006F5C6A"/>
    <w:rsid w:val="006F7D0C"/>
    <w:rsid w:val="007027B2"/>
    <w:rsid w:val="0072081B"/>
    <w:rsid w:val="0072558E"/>
    <w:rsid w:val="0073583B"/>
    <w:rsid w:val="00744E3F"/>
    <w:rsid w:val="00753007"/>
    <w:rsid w:val="007556F3"/>
    <w:rsid w:val="007613FC"/>
    <w:rsid w:val="007720E2"/>
    <w:rsid w:val="00773FE7"/>
    <w:rsid w:val="0077431C"/>
    <w:rsid w:val="007778C4"/>
    <w:rsid w:val="00777F6B"/>
    <w:rsid w:val="00780BF4"/>
    <w:rsid w:val="00796E6F"/>
    <w:rsid w:val="007C5DF9"/>
    <w:rsid w:val="007E1A50"/>
    <w:rsid w:val="007E324A"/>
    <w:rsid w:val="007E5E70"/>
    <w:rsid w:val="00817F9B"/>
    <w:rsid w:val="008243FD"/>
    <w:rsid w:val="00826BA3"/>
    <w:rsid w:val="0083419E"/>
    <w:rsid w:val="00850056"/>
    <w:rsid w:val="00862D7A"/>
    <w:rsid w:val="00863AFF"/>
    <w:rsid w:val="00892C9E"/>
    <w:rsid w:val="0089BAE5"/>
    <w:rsid w:val="008A5DBE"/>
    <w:rsid w:val="008D228F"/>
    <w:rsid w:val="008D60A8"/>
    <w:rsid w:val="008E0951"/>
    <w:rsid w:val="008E5ED7"/>
    <w:rsid w:val="009013B6"/>
    <w:rsid w:val="00901EAE"/>
    <w:rsid w:val="009147B3"/>
    <w:rsid w:val="0093341F"/>
    <w:rsid w:val="00934F59"/>
    <w:rsid w:val="00955499"/>
    <w:rsid w:val="00957313"/>
    <w:rsid w:val="00965E38"/>
    <w:rsid w:val="00967295"/>
    <w:rsid w:val="009B1B66"/>
    <w:rsid w:val="009C2C92"/>
    <w:rsid w:val="009D3904"/>
    <w:rsid w:val="009E561D"/>
    <w:rsid w:val="009E59BA"/>
    <w:rsid w:val="009E742B"/>
    <w:rsid w:val="009F0559"/>
    <w:rsid w:val="009F4517"/>
    <w:rsid w:val="00A01F81"/>
    <w:rsid w:val="00A228AA"/>
    <w:rsid w:val="00A27C94"/>
    <w:rsid w:val="00A3000E"/>
    <w:rsid w:val="00A3099E"/>
    <w:rsid w:val="00A372EA"/>
    <w:rsid w:val="00A754CC"/>
    <w:rsid w:val="00A94C61"/>
    <w:rsid w:val="00AA3092"/>
    <w:rsid w:val="00AAC594"/>
    <w:rsid w:val="00AB0745"/>
    <w:rsid w:val="00AE44B0"/>
    <w:rsid w:val="00B1458B"/>
    <w:rsid w:val="00B25B6E"/>
    <w:rsid w:val="00B3559F"/>
    <w:rsid w:val="00B36E55"/>
    <w:rsid w:val="00B36FBC"/>
    <w:rsid w:val="00B6112A"/>
    <w:rsid w:val="00B66693"/>
    <w:rsid w:val="00B70F84"/>
    <w:rsid w:val="00B7346F"/>
    <w:rsid w:val="00B74B85"/>
    <w:rsid w:val="00B85333"/>
    <w:rsid w:val="00B9667A"/>
    <w:rsid w:val="00BA5174"/>
    <w:rsid w:val="00BC2CF6"/>
    <w:rsid w:val="00BD31F7"/>
    <w:rsid w:val="00BE7DE6"/>
    <w:rsid w:val="00BF7892"/>
    <w:rsid w:val="00C34FE2"/>
    <w:rsid w:val="00C46F4E"/>
    <w:rsid w:val="00C521AA"/>
    <w:rsid w:val="00C54BD4"/>
    <w:rsid w:val="00C74650"/>
    <w:rsid w:val="00C865EB"/>
    <w:rsid w:val="00CB1C96"/>
    <w:rsid w:val="00CB7438"/>
    <w:rsid w:val="00CC24D2"/>
    <w:rsid w:val="00CD0AF5"/>
    <w:rsid w:val="00CD1EE5"/>
    <w:rsid w:val="00CD2258"/>
    <w:rsid w:val="00CD4AC4"/>
    <w:rsid w:val="00CE1538"/>
    <w:rsid w:val="00CF4969"/>
    <w:rsid w:val="00CF4BEA"/>
    <w:rsid w:val="00D27B3C"/>
    <w:rsid w:val="00D605E8"/>
    <w:rsid w:val="00D8278F"/>
    <w:rsid w:val="00D85C6B"/>
    <w:rsid w:val="00DE1A18"/>
    <w:rsid w:val="00DF5C8A"/>
    <w:rsid w:val="00E079D8"/>
    <w:rsid w:val="00E23C14"/>
    <w:rsid w:val="00E37F32"/>
    <w:rsid w:val="00E45DBF"/>
    <w:rsid w:val="00E52571"/>
    <w:rsid w:val="00E56B65"/>
    <w:rsid w:val="00EB27F2"/>
    <w:rsid w:val="00EB6AE9"/>
    <w:rsid w:val="00EB74F8"/>
    <w:rsid w:val="00EC27E3"/>
    <w:rsid w:val="00EC3556"/>
    <w:rsid w:val="00EC541A"/>
    <w:rsid w:val="00EC75A0"/>
    <w:rsid w:val="00ED5863"/>
    <w:rsid w:val="00EF17C0"/>
    <w:rsid w:val="00F04C52"/>
    <w:rsid w:val="00F24219"/>
    <w:rsid w:val="00F36285"/>
    <w:rsid w:val="00F77FB6"/>
    <w:rsid w:val="00F842AF"/>
    <w:rsid w:val="00F96493"/>
    <w:rsid w:val="00FA22E7"/>
    <w:rsid w:val="00FB1CBA"/>
    <w:rsid w:val="00FB6B50"/>
    <w:rsid w:val="00FD7061"/>
    <w:rsid w:val="013BE629"/>
    <w:rsid w:val="0203AD0D"/>
    <w:rsid w:val="029B19DE"/>
    <w:rsid w:val="06433189"/>
    <w:rsid w:val="091DA2C2"/>
    <w:rsid w:val="093475C6"/>
    <w:rsid w:val="0960F059"/>
    <w:rsid w:val="0AB27575"/>
    <w:rsid w:val="0B07C607"/>
    <w:rsid w:val="0B2B1BAF"/>
    <w:rsid w:val="0D3DCEFC"/>
    <w:rsid w:val="0E3A79D8"/>
    <w:rsid w:val="0E4C3E0F"/>
    <w:rsid w:val="0E630FDA"/>
    <w:rsid w:val="0E6FD92F"/>
    <w:rsid w:val="10960E70"/>
    <w:rsid w:val="114C2AA4"/>
    <w:rsid w:val="122C4A31"/>
    <w:rsid w:val="12E29036"/>
    <w:rsid w:val="1542C50E"/>
    <w:rsid w:val="16C257DE"/>
    <w:rsid w:val="16E9D22F"/>
    <w:rsid w:val="1B90EDE2"/>
    <w:rsid w:val="1CFDBBA8"/>
    <w:rsid w:val="201FABB3"/>
    <w:rsid w:val="21126199"/>
    <w:rsid w:val="24836558"/>
    <w:rsid w:val="2521284D"/>
    <w:rsid w:val="26B58032"/>
    <w:rsid w:val="2747F024"/>
    <w:rsid w:val="2AC9A328"/>
    <w:rsid w:val="2D62A70E"/>
    <w:rsid w:val="3537D4B0"/>
    <w:rsid w:val="377BAA4E"/>
    <w:rsid w:val="3A0ECBD8"/>
    <w:rsid w:val="41C74326"/>
    <w:rsid w:val="46A89E4B"/>
    <w:rsid w:val="47C46393"/>
    <w:rsid w:val="4A4C72FC"/>
    <w:rsid w:val="4B7A5B1E"/>
    <w:rsid w:val="4C22C896"/>
    <w:rsid w:val="4CADF4DD"/>
    <w:rsid w:val="4DEDA851"/>
    <w:rsid w:val="4EAC4961"/>
    <w:rsid w:val="4F53D38A"/>
    <w:rsid w:val="512D8CCE"/>
    <w:rsid w:val="52264CA2"/>
    <w:rsid w:val="5391DA9F"/>
    <w:rsid w:val="55528A36"/>
    <w:rsid w:val="57EA1E35"/>
    <w:rsid w:val="5C4C6DA2"/>
    <w:rsid w:val="5C62D486"/>
    <w:rsid w:val="603753A1"/>
    <w:rsid w:val="6037DF37"/>
    <w:rsid w:val="60391749"/>
    <w:rsid w:val="6236C256"/>
    <w:rsid w:val="64A191AE"/>
    <w:rsid w:val="64AD5257"/>
    <w:rsid w:val="73DAACA0"/>
    <w:rsid w:val="74DD14C1"/>
    <w:rsid w:val="7530BE56"/>
    <w:rsid w:val="77CA219B"/>
    <w:rsid w:val="789EB95E"/>
    <w:rsid w:val="7B4784C4"/>
    <w:rsid w:val="7B6B5008"/>
    <w:rsid w:val="7C155A11"/>
    <w:rsid w:val="7CEE9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BE877"/>
  <w15:chartTrackingRefBased/>
  <w15:docId w15:val="{300F7490-2FAD-4D26-A388-A3D8228D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13A7"/>
    <w:pPr>
      <w:tabs>
        <w:tab w:val="center" w:pos="4153"/>
        <w:tab w:val="right" w:pos="8306"/>
      </w:tabs>
    </w:pPr>
  </w:style>
  <w:style w:type="paragraph" w:styleId="Footer">
    <w:name w:val="footer"/>
    <w:basedOn w:val="Normal"/>
    <w:rsid w:val="005F13A7"/>
    <w:pPr>
      <w:tabs>
        <w:tab w:val="center" w:pos="4153"/>
        <w:tab w:val="right" w:pos="8306"/>
      </w:tabs>
    </w:pPr>
  </w:style>
  <w:style w:type="character" w:styleId="PageNumber">
    <w:name w:val="page number"/>
    <w:basedOn w:val="DefaultParagraphFont"/>
    <w:rsid w:val="005F13A7"/>
  </w:style>
  <w:style w:type="character" w:styleId="Emphasis">
    <w:name w:val="Emphasis"/>
    <w:qFormat/>
    <w:rsid w:val="00A228AA"/>
    <w:rPr>
      <w:i/>
      <w:iCs/>
    </w:rPr>
  </w:style>
  <w:style w:type="paragraph" w:customStyle="1" w:styleId="Headnotetext">
    <w:name w:val="Headnote text"/>
    <w:basedOn w:val="Normal"/>
    <w:rsid w:val="00A228AA"/>
    <w:pPr>
      <w:spacing w:after="120"/>
      <w:jc w:val="both"/>
    </w:pPr>
    <w:rPr>
      <w:kern w:val="28"/>
      <w:sz w:val="20"/>
      <w:szCs w:val="20"/>
    </w:rPr>
  </w:style>
  <w:style w:type="paragraph" w:customStyle="1" w:styleId="DecisionText">
    <w:name w:val="Decision Text"/>
    <w:basedOn w:val="Normal"/>
    <w:rsid w:val="00455941"/>
    <w:pPr>
      <w:spacing w:after="120"/>
      <w:jc w:val="both"/>
    </w:pPr>
    <w:rPr>
      <w:kern w:val="28"/>
      <w:szCs w:val="20"/>
    </w:rPr>
  </w:style>
  <w:style w:type="paragraph" w:styleId="BalloonText">
    <w:name w:val="Balloon Text"/>
    <w:basedOn w:val="Normal"/>
    <w:link w:val="BalloonTextChar"/>
    <w:rsid w:val="00CD1EE5"/>
    <w:rPr>
      <w:rFonts w:ascii="Tahoma" w:hAnsi="Tahoma" w:cs="Tahoma"/>
      <w:sz w:val="16"/>
      <w:szCs w:val="16"/>
    </w:rPr>
  </w:style>
  <w:style w:type="character" w:customStyle="1" w:styleId="BalloonTextChar">
    <w:name w:val="Balloon Text Char"/>
    <w:link w:val="BalloonText"/>
    <w:rsid w:val="00CD1EE5"/>
    <w:rPr>
      <w:rFonts w:ascii="Tahoma" w:hAnsi="Tahoma" w:cs="Tahoma"/>
      <w:sz w:val="16"/>
      <w:szCs w:val="16"/>
    </w:rPr>
  </w:style>
  <w:style w:type="paragraph" w:styleId="FootnoteText">
    <w:name w:val="footnote text"/>
    <w:basedOn w:val="Normal"/>
    <w:link w:val="FootnoteTextChar"/>
    <w:rsid w:val="00E37F32"/>
    <w:rPr>
      <w:sz w:val="20"/>
      <w:szCs w:val="20"/>
    </w:rPr>
  </w:style>
  <w:style w:type="character" w:customStyle="1" w:styleId="FootnoteTextChar">
    <w:name w:val="Footnote Text Char"/>
    <w:basedOn w:val="DefaultParagraphFont"/>
    <w:link w:val="FootnoteText"/>
    <w:rsid w:val="00E37F32"/>
  </w:style>
  <w:style w:type="character" w:styleId="FootnoteReference">
    <w:name w:val="footnote reference"/>
    <w:rsid w:val="00E37F32"/>
    <w:rPr>
      <w:vertAlign w:val="superscript"/>
    </w:rPr>
  </w:style>
  <w:style w:type="character" w:styleId="CommentReference">
    <w:name w:val="annotation reference"/>
    <w:rsid w:val="0008647D"/>
    <w:rPr>
      <w:sz w:val="16"/>
      <w:szCs w:val="16"/>
    </w:rPr>
  </w:style>
  <w:style w:type="paragraph" w:styleId="CommentText">
    <w:name w:val="annotation text"/>
    <w:basedOn w:val="Normal"/>
    <w:link w:val="CommentTextChar"/>
    <w:rsid w:val="0008647D"/>
    <w:rPr>
      <w:sz w:val="20"/>
      <w:szCs w:val="20"/>
    </w:rPr>
  </w:style>
  <w:style w:type="character" w:customStyle="1" w:styleId="CommentTextChar">
    <w:name w:val="Comment Text Char"/>
    <w:basedOn w:val="DefaultParagraphFont"/>
    <w:link w:val="CommentText"/>
    <w:rsid w:val="0008647D"/>
  </w:style>
  <w:style w:type="paragraph" w:styleId="CommentSubject">
    <w:name w:val="annotation subject"/>
    <w:basedOn w:val="CommentText"/>
    <w:next w:val="CommentText"/>
    <w:link w:val="CommentSubjectChar"/>
    <w:rsid w:val="0008647D"/>
    <w:rPr>
      <w:b/>
      <w:bCs/>
    </w:rPr>
  </w:style>
  <w:style w:type="character" w:customStyle="1" w:styleId="CommentSubjectChar">
    <w:name w:val="Comment Subject Char"/>
    <w:link w:val="CommentSubject"/>
    <w:rsid w:val="0008647D"/>
    <w:rPr>
      <w:b/>
      <w:bCs/>
    </w:rPr>
  </w:style>
  <w:style w:type="character" w:styleId="Hyperlink">
    <w:name w:val="Hyperlink"/>
    <w:rsid w:val="00C74650"/>
    <w:rPr>
      <w:color w:val="0563C1"/>
      <w:u w:val="single"/>
    </w:rPr>
  </w:style>
  <w:style w:type="character" w:styleId="FollowedHyperlink">
    <w:name w:val="FollowedHyperlink"/>
    <w:rsid w:val="002636DF"/>
    <w:rPr>
      <w:color w:val="954F72"/>
      <w:u w:val="single"/>
    </w:rPr>
  </w:style>
  <w:style w:type="character" w:styleId="UnresolvedMention">
    <w:name w:val="Unresolved Mention"/>
    <w:uiPriority w:val="99"/>
    <w:semiHidden/>
    <w:unhideWhenUsed/>
    <w:rsid w:val="0006672D"/>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F7D0C"/>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01122">
      <w:bodyDiv w:val="1"/>
      <w:marLeft w:val="0"/>
      <w:marRight w:val="0"/>
      <w:marTop w:val="0"/>
      <w:marBottom w:val="0"/>
      <w:divBdr>
        <w:top w:val="none" w:sz="0" w:space="0" w:color="auto"/>
        <w:left w:val="none" w:sz="0" w:space="0" w:color="auto"/>
        <w:bottom w:val="none" w:sz="0" w:space="0" w:color="auto"/>
        <w:right w:val="none" w:sz="0" w:space="0" w:color="auto"/>
      </w:divBdr>
    </w:div>
    <w:div w:id="838471792">
      <w:bodyDiv w:val="1"/>
      <w:marLeft w:val="0"/>
      <w:marRight w:val="0"/>
      <w:marTop w:val="0"/>
      <w:marBottom w:val="0"/>
      <w:divBdr>
        <w:top w:val="none" w:sz="0" w:space="0" w:color="auto"/>
        <w:left w:val="none" w:sz="0" w:space="0" w:color="auto"/>
        <w:bottom w:val="none" w:sz="0" w:space="0" w:color="auto"/>
        <w:right w:val="none" w:sz="0" w:space="0" w:color="auto"/>
      </w:divBdr>
    </w:div>
    <w:div w:id="1361395400">
      <w:bodyDiv w:val="1"/>
      <w:marLeft w:val="0"/>
      <w:marRight w:val="0"/>
      <w:marTop w:val="0"/>
      <w:marBottom w:val="0"/>
      <w:divBdr>
        <w:top w:val="none" w:sz="0" w:space="0" w:color="auto"/>
        <w:left w:val="none" w:sz="0" w:space="0" w:color="auto"/>
        <w:bottom w:val="none" w:sz="0" w:space="0" w:color="auto"/>
        <w:right w:val="none" w:sz="0" w:space="0" w:color="auto"/>
      </w:divBdr>
      <w:divsChild>
        <w:div w:id="3578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5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584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3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74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9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9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738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3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03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8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37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09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99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07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30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9526409">
      <w:bodyDiv w:val="1"/>
      <w:marLeft w:val="0"/>
      <w:marRight w:val="0"/>
      <w:marTop w:val="0"/>
      <w:marBottom w:val="0"/>
      <w:divBdr>
        <w:top w:val="none" w:sz="0" w:space="0" w:color="auto"/>
        <w:left w:val="none" w:sz="0" w:space="0" w:color="auto"/>
        <w:bottom w:val="none" w:sz="0" w:space="0" w:color="auto"/>
        <w:right w:val="none" w:sz="0" w:space="0" w:color="auto"/>
      </w:divBdr>
    </w:div>
    <w:div w:id="1641881944">
      <w:bodyDiv w:val="1"/>
      <w:marLeft w:val="0"/>
      <w:marRight w:val="0"/>
      <w:marTop w:val="0"/>
      <w:marBottom w:val="0"/>
      <w:divBdr>
        <w:top w:val="none" w:sz="0" w:space="0" w:color="auto"/>
        <w:left w:val="none" w:sz="0" w:space="0" w:color="auto"/>
        <w:bottom w:val="none" w:sz="0" w:space="0" w:color="auto"/>
        <w:right w:val="none" w:sz="0" w:space="0" w:color="auto"/>
      </w:divBdr>
    </w:div>
    <w:div w:id="1714230172">
      <w:bodyDiv w:val="1"/>
      <w:marLeft w:val="0"/>
      <w:marRight w:val="0"/>
      <w:marTop w:val="0"/>
      <w:marBottom w:val="0"/>
      <w:divBdr>
        <w:top w:val="none" w:sz="0" w:space="0" w:color="auto"/>
        <w:left w:val="none" w:sz="0" w:space="0" w:color="auto"/>
        <w:bottom w:val="none" w:sz="0" w:space="0" w:color="auto"/>
        <w:right w:val="none" w:sz="0" w:space="0" w:color="auto"/>
      </w:divBdr>
    </w:div>
    <w:div w:id="190895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the-universal-credit-transitional-provisions-amendment-regulations-2022" TargetMode="External"/><Relationship Id="rId2" Type="http://schemas.openxmlformats.org/officeDocument/2006/relationships/hyperlink" Target="https://www.gov.uk/government/publications/universal-credit-welfare-that-works" TargetMode="External"/><Relationship Id="rId1" Type="http://schemas.openxmlformats.org/officeDocument/2006/relationships/hyperlink" Target="https://askcpag.org.uk/content/209694/managed-migration-moving-to-universal-credit" TargetMode="External"/><Relationship Id="rId4" Type="http://schemas.openxmlformats.org/officeDocument/2006/relationships/hyperlink" Target="https://questions-statements.parliament.uk/written-statements/detail/2024-05-21/hcws4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Word%20Templates\Tribunal%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6620CF5-1EB4-4A51-8DB0-72F91FE848F3}">
  <ds:schemaRefs>
    <ds:schemaRef ds:uri="http://schemas.microsoft.com/sharepoint/v3/contenttype/forms"/>
  </ds:schemaRefs>
</ds:datastoreItem>
</file>

<file path=customXml/itemProps2.xml><?xml version="1.0" encoding="utf-8"?>
<ds:datastoreItem xmlns:ds="http://schemas.openxmlformats.org/officeDocument/2006/customXml" ds:itemID="{2BF1DFDB-FB95-4A12-93D9-2460410C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AE8BA-5D66-497A-B8E8-49D0DE20BD37}">
  <ds:schemaRefs>
    <ds:schemaRef ds:uri="http://schemas.openxmlformats.org/officeDocument/2006/bibliography"/>
  </ds:schemaRefs>
</ds:datastoreItem>
</file>

<file path=customXml/itemProps4.xml><?xml version="1.0" encoding="utf-8"?>
<ds:datastoreItem xmlns:ds="http://schemas.openxmlformats.org/officeDocument/2006/customXml" ds:itemID="{DA2D3F9F-640B-446E-A969-E514F38D9909}">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5.xml><?xml version="1.0" encoding="utf-8"?>
<ds:datastoreItem xmlns:ds="http://schemas.openxmlformats.org/officeDocument/2006/customXml" ds:itemID="{1DD639B1-47D1-4C20-A63B-1A88A522C1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Tribunal Submission.dotx</Template>
  <TotalTime>2</TotalTime>
  <Pages>10</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PERMISSION TO APPEAL AGAINST THE DECISION OF AN APPEAL TRIBUNAL</vt:lpstr>
    </vt:vector>
  </TitlesOfParts>
  <Company>Child Poverty Action Group</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APPEAL AGAINST THE DECISION OF AN APPEAL TRIBUNAL</dc:title>
  <dc:subject/>
  <dc:creator>Williams, Martin</dc:creator>
  <cp:keywords/>
  <cp:lastModifiedBy>Susan Mitchell</cp:lastModifiedBy>
  <cp:revision>2</cp:revision>
  <cp:lastPrinted>1901-01-01T08:00:00Z</cp:lastPrinted>
  <dcterms:created xsi:type="dcterms:W3CDTF">2024-10-01T14:55:00Z</dcterms:created>
  <dcterms:modified xsi:type="dcterms:W3CDTF">2024-10-01T14:55:00Z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Taran Admin</vt:lpwstr>
  </property>
  <property fmtid="{D5CDD505-2E9C-101B-9397-08002B2CF9AE}" pid="3" name="Order">
    <vt:lpwstr>2275000.00000000</vt:lpwstr>
  </property>
  <property fmtid="{D5CDD505-2E9C-101B-9397-08002B2CF9AE}" pid="4" name="display_urn:schemas-microsoft-com:office:office#Author">
    <vt:lpwstr>Taran Admin</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0x0101008595143BE3AFE244BA8430A45F6507EC</vt:lpwstr>
  </property>
</Properties>
</file>