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C763" w14:textId="432B2113" w:rsidR="00015F88" w:rsidRPr="00A64A18" w:rsidRDefault="002209CA" w:rsidP="00015F88">
      <w:pPr>
        <w:shd w:val="clear" w:color="auto" w:fill="FFFFFF"/>
        <w:tabs>
          <w:tab w:val="left" w:pos="3330"/>
        </w:tabs>
        <w:spacing w:after="0" w:line="240" w:lineRule="auto"/>
        <w:jc w:val="both"/>
        <w:rPr>
          <w:rFonts w:asciiTheme="majorHAnsi" w:eastAsia="Times New Roman" w:hAnsiTheme="majorHAnsi" w:cstheme="majorHAnsi"/>
          <w:sz w:val="24"/>
          <w:szCs w:val="24"/>
          <w:highlight w:val="white"/>
        </w:rPr>
      </w:pPr>
      <w:r w:rsidRPr="00A64A18">
        <w:rPr>
          <w:rFonts w:asciiTheme="majorHAnsi" w:hAnsiTheme="majorHAnsi" w:cstheme="majorHAnsi"/>
          <w:noProof/>
          <w:color w:val="000000" w:themeColor="text1"/>
          <w:sz w:val="24"/>
          <w:szCs w:val="24"/>
        </w:rPr>
        <mc:AlternateContent>
          <mc:Choice Requires="wps">
            <w:drawing>
              <wp:anchor distT="45720" distB="45720" distL="114300" distR="114300" simplePos="0" relativeHeight="251661824" behindDoc="0" locked="0" layoutInCell="1" allowOverlap="1" wp14:anchorId="0D920FE1" wp14:editId="3770863B">
                <wp:simplePos x="0" y="0"/>
                <wp:positionH relativeFrom="column">
                  <wp:posOffset>-7620</wp:posOffset>
                </wp:positionH>
                <wp:positionV relativeFrom="paragraph">
                  <wp:posOffset>3677285</wp:posOffset>
                </wp:positionV>
                <wp:extent cx="6066790" cy="1783080"/>
                <wp:effectExtent l="0" t="0" r="10160" b="26670"/>
                <wp:wrapSquare wrapText="bothSides"/>
                <wp:docPr id="1372156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783080"/>
                        </a:xfrm>
                        <a:prstGeom prst="rect">
                          <a:avLst/>
                        </a:prstGeom>
                        <a:solidFill>
                          <a:srgbClr val="FFFFFF"/>
                        </a:solidFill>
                        <a:ln w="9525">
                          <a:solidFill>
                            <a:srgbClr val="000000"/>
                          </a:solidFill>
                          <a:miter lim="800000"/>
                          <a:headEnd/>
                          <a:tailEnd/>
                        </a:ln>
                      </wps:spPr>
                      <wps:txbx>
                        <w:txbxContent>
                          <w:p w14:paraId="2FA747E1" w14:textId="77777777" w:rsidR="002209CA" w:rsidRPr="002209CA" w:rsidRDefault="002209CA" w:rsidP="002209CA">
                            <w:pPr>
                              <w:rPr>
                                <w:rFonts w:asciiTheme="majorHAnsi" w:hAnsiTheme="majorHAnsi" w:cstheme="majorHAnsi"/>
                                <w:sz w:val="24"/>
                                <w:szCs w:val="24"/>
                              </w:rPr>
                            </w:pPr>
                            <w:r w:rsidRPr="002209CA">
                              <w:rPr>
                                <w:rFonts w:asciiTheme="majorHAnsi" w:hAnsiTheme="majorHAnsi" w:cstheme="majorHAnsi"/>
                                <w:b/>
                                <w:bCs/>
                                <w:sz w:val="24"/>
                                <w:szCs w:val="24"/>
                              </w:rPr>
                              <w:t>IMPORTANT:</w:t>
                            </w:r>
                            <w:r w:rsidRPr="002209CA">
                              <w:rPr>
                                <w:rFonts w:asciiTheme="majorHAnsi" w:hAnsiTheme="majorHAnsi" w:cstheme="majorHAnsi"/>
                                <w:sz w:val="24"/>
                                <w:szCs w:val="24"/>
                              </w:rPr>
                              <w:t xml:space="preserve"> the address for service changed in February 2024, as below. </w:t>
                            </w:r>
                          </w:p>
                          <w:p w14:paraId="44758C8C" w14:textId="77777777" w:rsidR="002209CA" w:rsidRPr="002209CA" w:rsidRDefault="002209CA" w:rsidP="002209CA">
                            <w:pPr>
                              <w:rPr>
                                <w:rFonts w:asciiTheme="majorHAnsi" w:hAnsiTheme="majorHAnsi" w:cstheme="majorHAnsi"/>
                                <w:b/>
                                <w:bCs/>
                                <w:sz w:val="24"/>
                                <w:szCs w:val="24"/>
                              </w:rPr>
                            </w:pPr>
                            <w:r w:rsidRPr="002209CA">
                              <w:rPr>
                                <w:rFonts w:asciiTheme="majorHAnsi" w:hAnsiTheme="majorHAnsi" w:cstheme="majorHAnsi"/>
                                <w:sz w:val="24"/>
                                <w:szCs w:val="24"/>
                              </w:rPr>
                              <w:t>Please send your letter by post to DWP and by email to the Treasury Solicitor.</w:t>
                            </w:r>
                          </w:p>
                          <w:p w14:paraId="759F7694" w14:textId="77777777" w:rsidR="002209CA" w:rsidRPr="002209CA" w:rsidRDefault="002209CA" w:rsidP="002209CA">
                            <w:pPr>
                              <w:rPr>
                                <w:rFonts w:asciiTheme="majorHAnsi" w:hAnsiTheme="majorHAnsi" w:cstheme="majorHAnsi"/>
                                <w:b/>
                                <w:bCs/>
                                <w:sz w:val="24"/>
                                <w:szCs w:val="24"/>
                              </w:rPr>
                            </w:pPr>
                            <w:r w:rsidRPr="002209CA">
                              <w:rPr>
                                <w:rFonts w:asciiTheme="majorHAnsi" w:hAnsiTheme="majorHAnsi" w:cstheme="majorHAnsi"/>
                                <w:sz w:val="24"/>
                                <w:szCs w:val="24"/>
                              </w:rPr>
                              <w:t xml:space="preserve">Please seek advice from </w:t>
                            </w:r>
                            <w:hyperlink r:id="rId11" w:history="1">
                              <w:r w:rsidRPr="002209CA">
                                <w:rPr>
                                  <w:rStyle w:val="Hyperlink"/>
                                  <w:rFonts w:asciiTheme="majorHAnsi" w:hAnsiTheme="majorHAnsi" w:cstheme="majorHAnsi"/>
                                  <w:sz w:val="24"/>
                                  <w:szCs w:val="24"/>
                                </w:rPr>
                                <w:t>JRProject@CPAG.org.uk</w:t>
                              </w:r>
                            </w:hyperlink>
                            <w:r w:rsidRPr="002209CA">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2209CA">
                                <w:rPr>
                                  <w:rStyle w:val="Hyperlink"/>
                                  <w:rFonts w:asciiTheme="majorHAnsi" w:hAnsiTheme="majorHAnsi" w:cstheme="majorHAnsi"/>
                                  <w:sz w:val="24"/>
                                  <w:szCs w:val="24"/>
                                </w:rPr>
                                <w:t>this CPAG page</w:t>
                              </w:r>
                            </w:hyperlink>
                            <w:r w:rsidRPr="002209CA">
                              <w:rPr>
                                <w:rFonts w:asciiTheme="majorHAnsi" w:hAnsiTheme="majorHAnsi" w:cstheme="majorHAnsi"/>
                                <w:sz w:val="24"/>
                                <w:szCs w:val="24"/>
                              </w:rPr>
                              <w:t xml:space="preserve"> for more information.</w:t>
                            </w:r>
                            <w:r w:rsidRPr="002209CA">
                              <w:rPr>
                                <w:rFonts w:asciiTheme="majorHAnsi" w:hAnsiTheme="majorHAnsi" w:cstheme="majorHAnsi"/>
                                <w:b/>
                                <w:bCs/>
                                <w:sz w:val="24"/>
                                <w:szCs w:val="24"/>
                              </w:rPr>
                              <w:t xml:space="preserve"> </w:t>
                            </w:r>
                            <w:hyperlink r:id="rId13" w:history="1"/>
                            <w:r w:rsidRPr="002209CA">
                              <w:rPr>
                                <w:rFonts w:asciiTheme="majorHAnsi" w:hAnsiTheme="majorHAnsi" w:cstheme="majorHAnsi"/>
                                <w:b/>
                                <w:bCs/>
                                <w:sz w:val="24"/>
                                <w:szCs w:val="24"/>
                              </w:rPr>
                              <w:t xml:space="preserve"> </w:t>
                            </w:r>
                          </w:p>
                          <w:p w14:paraId="4EBC720C" w14:textId="77777777" w:rsidR="002209CA" w:rsidRPr="002209CA" w:rsidRDefault="002209CA" w:rsidP="002209CA">
                            <w:pPr>
                              <w:rPr>
                                <w:rFonts w:asciiTheme="majorHAnsi" w:hAnsiTheme="majorHAnsi" w:cstheme="majorHAnsi"/>
                                <w:color w:val="FF0000"/>
                                <w:sz w:val="24"/>
                                <w:szCs w:val="24"/>
                              </w:rPr>
                            </w:pPr>
                            <w:r w:rsidRPr="002209CA">
                              <w:rPr>
                                <w:rFonts w:asciiTheme="majorHAnsi" w:hAnsiTheme="majorHAnsi" w:cstheme="majorHAnsi"/>
                                <w:color w:val="FF0000"/>
                                <w:sz w:val="24"/>
                                <w:szCs w:val="24"/>
                              </w:rPr>
                              <w:t xml:space="preserve">Delete Box Before Posting </w:t>
                            </w:r>
                          </w:p>
                          <w:p w14:paraId="2E700B08" w14:textId="77777777" w:rsidR="002209CA" w:rsidRDefault="002209CA" w:rsidP="0022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20FE1" id="_x0000_t202" coordsize="21600,21600" o:spt="202" path="m,l,21600r21600,l21600,xe">
                <v:stroke joinstyle="miter"/>
                <v:path gradientshapeok="t" o:connecttype="rect"/>
              </v:shapetype>
              <v:shape id="Text Box 2" o:spid="_x0000_s1026" type="#_x0000_t202" style="position:absolute;left:0;text-align:left;margin-left:-.6pt;margin-top:289.55pt;width:477.7pt;height:140.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IR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">
                <v:textbox>
                  <w:txbxContent>
                    <w:p w14:paraId="2FA747E1" w14:textId="77777777" w:rsidR="002209CA" w:rsidRPr="002209CA" w:rsidRDefault="002209CA" w:rsidP="002209CA">
                      <w:pPr>
                        <w:rPr>
                          <w:rFonts w:asciiTheme="majorHAnsi" w:hAnsiTheme="majorHAnsi" w:cstheme="majorHAnsi"/>
                          <w:sz w:val="24"/>
                          <w:szCs w:val="24"/>
                        </w:rPr>
                      </w:pPr>
                      <w:r w:rsidRPr="002209CA">
                        <w:rPr>
                          <w:rFonts w:asciiTheme="majorHAnsi" w:hAnsiTheme="majorHAnsi" w:cstheme="majorHAnsi"/>
                          <w:b/>
                          <w:bCs/>
                          <w:sz w:val="24"/>
                          <w:szCs w:val="24"/>
                        </w:rPr>
                        <w:t>IMPORTANT:</w:t>
                      </w:r>
                      <w:r w:rsidRPr="002209CA">
                        <w:rPr>
                          <w:rFonts w:asciiTheme="majorHAnsi" w:hAnsiTheme="majorHAnsi" w:cstheme="majorHAnsi"/>
                          <w:sz w:val="24"/>
                          <w:szCs w:val="24"/>
                        </w:rPr>
                        <w:t xml:space="preserve"> the address for service changed in February 2024, as below. </w:t>
                      </w:r>
                    </w:p>
                    <w:p w14:paraId="44758C8C" w14:textId="77777777" w:rsidR="002209CA" w:rsidRPr="002209CA" w:rsidRDefault="002209CA" w:rsidP="002209CA">
                      <w:pPr>
                        <w:rPr>
                          <w:rFonts w:asciiTheme="majorHAnsi" w:hAnsiTheme="majorHAnsi" w:cstheme="majorHAnsi"/>
                          <w:b/>
                          <w:bCs/>
                          <w:sz w:val="24"/>
                          <w:szCs w:val="24"/>
                        </w:rPr>
                      </w:pPr>
                      <w:r w:rsidRPr="002209CA">
                        <w:rPr>
                          <w:rFonts w:asciiTheme="majorHAnsi" w:hAnsiTheme="majorHAnsi" w:cstheme="majorHAnsi"/>
                          <w:sz w:val="24"/>
                          <w:szCs w:val="24"/>
                        </w:rPr>
                        <w:t>Please send your letter by post to DWP and by email to the Treasury Solicitor.</w:t>
                      </w:r>
                    </w:p>
                    <w:p w14:paraId="759F7694" w14:textId="77777777" w:rsidR="002209CA" w:rsidRPr="002209CA" w:rsidRDefault="002209CA" w:rsidP="002209CA">
                      <w:pPr>
                        <w:rPr>
                          <w:rFonts w:asciiTheme="majorHAnsi" w:hAnsiTheme="majorHAnsi" w:cstheme="majorHAnsi"/>
                          <w:b/>
                          <w:bCs/>
                          <w:sz w:val="24"/>
                          <w:szCs w:val="24"/>
                        </w:rPr>
                      </w:pPr>
                      <w:r w:rsidRPr="002209CA">
                        <w:rPr>
                          <w:rFonts w:asciiTheme="majorHAnsi" w:hAnsiTheme="majorHAnsi" w:cstheme="majorHAnsi"/>
                          <w:sz w:val="24"/>
                          <w:szCs w:val="24"/>
                        </w:rPr>
                        <w:t xml:space="preserve">Please seek advice from </w:t>
                      </w:r>
                      <w:hyperlink r:id="rId14" w:history="1">
                        <w:r w:rsidRPr="002209CA">
                          <w:rPr>
                            <w:rStyle w:val="Hyperlink"/>
                            <w:rFonts w:asciiTheme="majorHAnsi" w:hAnsiTheme="majorHAnsi" w:cstheme="majorHAnsi"/>
                            <w:sz w:val="24"/>
                            <w:szCs w:val="24"/>
                          </w:rPr>
                          <w:t>JRProject@CPAG.org.uk</w:t>
                        </w:r>
                      </w:hyperlink>
                      <w:r w:rsidRPr="002209CA">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2209CA">
                          <w:rPr>
                            <w:rStyle w:val="Hyperlink"/>
                            <w:rFonts w:asciiTheme="majorHAnsi" w:hAnsiTheme="majorHAnsi" w:cstheme="majorHAnsi"/>
                            <w:sz w:val="24"/>
                            <w:szCs w:val="24"/>
                          </w:rPr>
                          <w:t>this CPAG page</w:t>
                        </w:r>
                      </w:hyperlink>
                      <w:r w:rsidRPr="002209CA">
                        <w:rPr>
                          <w:rFonts w:asciiTheme="majorHAnsi" w:hAnsiTheme="majorHAnsi" w:cstheme="majorHAnsi"/>
                          <w:sz w:val="24"/>
                          <w:szCs w:val="24"/>
                        </w:rPr>
                        <w:t xml:space="preserve"> for more information.</w:t>
                      </w:r>
                      <w:r w:rsidRPr="002209CA">
                        <w:rPr>
                          <w:rFonts w:asciiTheme="majorHAnsi" w:hAnsiTheme="majorHAnsi" w:cstheme="majorHAnsi"/>
                          <w:b/>
                          <w:bCs/>
                          <w:sz w:val="24"/>
                          <w:szCs w:val="24"/>
                        </w:rPr>
                        <w:t xml:space="preserve"> </w:t>
                      </w:r>
                      <w:hyperlink r:id="rId16" w:history="1"/>
                      <w:r w:rsidRPr="002209CA">
                        <w:rPr>
                          <w:rFonts w:asciiTheme="majorHAnsi" w:hAnsiTheme="majorHAnsi" w:cstheme="majorHAnsi"/>
                          <w:b/>
                          <w:bCs/>
                          <w:sz w:val="24"/>
                          <w:szCs w:val="24"/>
                        </w:rPr>
                        <w:t xml:space="preserve"> </w:t>
                      </w:r>
                    </w:p>
                    <w:p w14:paraId="4EBC720C" w14:textId="77777777" w:rsidR="002209CA" w:rsidRPr="002209CA" w:rsidRDefault="002209CA" w:rsidP="002209CA">
                      <w:pPr>
                        <w:rPr>
                          <w:rFonts w:asciiTheme="majorHAnsi" w:hAnsiTheme="majorHAnsi" w:cstheme="majorHAnsi"/>
                          <w:color w:val="FF0000"/>
                          <w:sz w:val="24"/>
                          <w:szCs w:val="24"/>
                        </w:rPr>
                      </w:pPr>
                      <w:r w:rsidRPr="002209CA">
                        <w:rPr>
                          <w:rFonts w:asciiTheme="majorHAnsi" w:hAnsiTheme="majorHAnsi" w:cstheme="majorHAnsi"/>
                          <w:color w:val="FF0000"/>
                          <w:sz w:val="24"/>
                          <w:szCs w:val="24"/>
                        </w:rPr>
                        <w:t xml:space="preserve">Delete Box Before Posting </w:t>
                      </w:r>
                    </w:p>
                    <w:p w14:paraId="2E700B08" w14:textId="77777777" w:rsidR="002209CA" w:rsidRDefault="002209CA" w:rsidP="002209CA"/>
                  </w:txbxContent>
                </v:textbox>
                <w10:wrap type="square"/>
              </v:shape>
            </w:pict>
          </mc:Fallback>
        </mc:AlternateContent>
      </w:r>
      <w:r w:rsidR="00015F88" w:rsidRPr="00A64A18">
        <w:rPr>
          <w:rFonts w:asciiTheme="majorHAnsi" w:eastAsia="Times New Roman" w:hAnsiTheme="majorHAnsi" w:cstheme="majorHAnsi"/>
          <w:noProof/>
          <w:sz w:val="24"/>
          <w:szCs w:val="24"/>
          <w:highlight w:val="white"/>
        </w:rPr>
        <mc:AlternateContent>
          <mc:Choice Requires="wps">
            <w:drawing>
              <wp:anchor distT="45720" distB="45720" distL="114300" distR="114300" simplePos="0" relativeHeight="251656704" behindDoc="0" locked="0" layoutInCell="1" allowOverlap="1" wp14:anchorId="72DA5FF2" wp14:editId="66C96D5E">
                <wp:simplePos x="0" y="0"/>
                <wp:positionH relativeFrom="column">
                  <wp:posOffset>-10160</wp:posOffset>
                </wp:positionH>
                <wp:positionV relativeFrom="paragraph">
                  <wp:posOffset>0</wp:posOffset>
                </wp:positionV>
                <wp:extent cx="6066790" cy="1404620"/>
                <wp:effectExtent l="0" t="0" r="101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404620"/>
                        </a:xfrm>
                        <a:prstGeom prst="rect">
                          <a:avLst/>
                        </a:prstGeom>
                        <a:solidFill>
                          <a:srgbClr val="FFFFFF"/>
                        </a:solidFill>
                        <a:ln w="9525">
                          <a:solidFill>
                            <a:srgbClr val="000000"/>
                          </a:solidFill>
                          <a:miter lim="800000"/>
                          <a:headEnd/>
                          <a:tailEnd/>
                        </a:ln>
                      </wps:spPr>
                      <wps:txbx>
                        <w:txbxContent>
                          <w:p w14:paraId="205B7D4B" w14:textId="77777777" w:rsidR="00015F88" w:rsidRPr="002209CA" w:rsidRDefault="00015F88">
                            <w:pPr>
                              <w:rPr>
                                <w:rFonts w:asciiTheme="majorHAnsi" w:hAnsiTheme="majorHAnsi" w:cstheme="majorHAnsi"/>
                                <w:b/>
                                <w:bCs/>
                                <w:sz w:val="24"/>
                                <w:szCs w:val="24"/>
                              </w:rPr>
                            </w:pPr>
                            <w:r w:rsidRPr="002209CA">
                              <w:rPr>
                                <w:rFonts w:asciiTheme="majorHAnsi" w:hAnsiTheme="majorHAnsi" w:cstheme="majorHAnsi"/>
                                <w:b/>
                                <w:bCs/>
                                <w:sz w:val="24"/>
                                <w:szCs w:val="24"/>
                              </w:rPr>
                              <w:t>This letter assumes:</w:t>
                            </w:r>
                          </w:p>
                          <w:p w14:paraId="70E26F86"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C is female</w:t>
                            </w:r>
                          </w:p>
                          <w:p w14:paraId="39DD5A3F"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 xml:space="preserve">C has a new claim advance and a tax credit overpayment – total </w:t>
                            </w:r>
                            <w:r w:rsidR="00E61C83" w:rsidRPr="002209CA">
                              <w:rPr>
                                <w:rFonts w:asciiTheme="majorHAnsi" w:hAnsiTheme="majorHAnsi" w:cstheme="majorHAnsi"/>
                                <w:sz w:val="24"/>
                                <w:szCs w:val="24"/>
                              </w:rPr>
                              <w:t xml:space="preserve">combined </w:t>
                            </w:r>
                            <w:r w:rsidRPr="002209CA">
                              <w:rPr>
                                <w:rFonts w:asciiTheme="majorHAnsi" w:hAnsiTheme="majorHAnsi" w:cstheme="majorHAnsi"/>
                                <w:sz w:val="24"/>
                                <w:szCs w:val="24"/>
                              </w:rPr>
                              <w:t>deduction from UC is 25%</w:t>
                            </w:r>
                          </w:p>
                          <w:p w14:paraId="7BDBF262"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Recovery of her advance has been suspended for 3 months ra</w:t>
                            </w:r>
                            <w:r w:rsidR="00E61C83" w:rsidRPr="002209CA">
                              <w:rPr>
                                <w:rFonts w:asciiTheme="majorHAnsi" w:hAnsiTheme="majorHAnsi" w:cstheme="majorHAnsi"/>
                                <w:sz w:val="24"/>
                                <w:szCs w:val="24"/>
                              </w:rPr>
                              <w:t xml:space="preserve">ther than being reduced C requested it be reduced) </w:t>
                            </w:r>
                          </w:p>
                          <w:p w14:paraId="3FEE8F17" w14:textId="77777777" w:rsidR="00E61C83" w:rsidRPr="002209CA" w:rsidRDefault="00E61C83"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C’s circumstances have changed since recovery terms were agreed by her.</w:t>
                            </w:r>
                          </w:p>
                          <w:p w14:paraId="3DF43800" w14:textId="77777777" w:rsidR="00E61C83" w:rsidRPr="002209CA" w:rsidRDefault="00E61C83" w:rsidP="00E61C83">
                            <w:pPr>
                              <w:pStyle w:val="ListParagraph"/>
                              <w:rPr>
                                <w:rFonts w:asciiTheme="majorHAnsi" w:hAnsiTheme="majorHAnsi" w:cstheme="majorHAnsi"/>
                                <w:sz w:val="24"/>
                                <w:szCs w:val="24"/>
                              </w:rPr>
                            </w:pPr>
                          </w:p>
                          <w:p w14:paraId="5D153F40" w14:textId="77777777" w:rsidR="00E61C83" w:rsidRPr="002209CA" w:rsidRDefault="00E61C83" w:rsidP="00E61C83">
                            <w:pPr>
                              <w:pStyle w:val="ListParagraph"/>
                              <w:ind w:left="0"/>
                              <w:rPr>
                                <w:rFonts w:asciiTheme="majorHAnsi" w:hAnsiTheme="majorHAnsi" w:cstheme="majorHAnsi"/>
                                <w:sz w:val="24"/>
                                <w:szCs w:val="24"/>
                              </w:rPr>
                            </w:pPr>
                            <w:r w:rsidRPr="002209CA">
                              <w:rPr>
                                <w:rFonts w:asciiTheme="majorHAnsi" w:hAnsiTheme="majorHAnsi" w:cstheme="majorHAnsi"/>
                                <w:sz w:val="24"/>
                                <w:szCs w:val="24"/>
                              </w:rPr>
                              <w:t xml:space="preserve">Edits will be needed if these facts do not apply. Please read the whole letter carefully and edit any text marked with [SQUARE </w:t>
                            </w:r>
                            <w:proofErr w:type="spellStart"/>
                            <w:r w:rsidRPr="002209CA">
                              <w:rPr>
                                <w:rFonts w:asciiTheme="majorHAnsi" w:hAnsiTheme="majorHAnsi" w:cstheme="majorHAnsi"/>
                                <w:sz w:val="24"/>
                                <w:szCs w:val="24"/>
                              </w:rPr>
                              <w:t>BRAKETS</w:t>
                            </w:r>
                            <w:proofErr w:type="spellEnd"/>
                            <w:r w:rsidRPr="002209CA">
                              <w:rPr>
                                <w:rFonts w:asciiTheme="majorHAnsi" w:hAnsiTheme="majorHAnsi" w:cstheme="majorHAnsi"/>
                                <w:sz w:val="24"/>
                                <w:szCs w:val="24"/>
                              </w:rPr>
                              <w:t>].</w:t>
                            </w:r>
                          </w:p>
                          <w:p w14:paraId="13285FA2" w14:textId="77777777" w:rsidR="00E61C83" w:rsidRPr="002209CA" w:rsidRDefault="00E61C83" w:rsidP="00E61C83">
                            <w:pPr>
                              <w:pStyle w:val="ListParagraph"/>
                              <w:ind w:left="0"/>
                              <w:rPr>
                                <w:rFonts w:asciiTheme="majorHAnsi" w:hAnsiTheme="majorHAnsi" w:cstheme="majorHAnsi"/>
                                <w:sz w:val="24"/>
                                <w:szCs w:val="24"/>
                              </w:rPr>
                            </w:pPr>
                          </w:p>
                          <w:p w14:paraId="0EE9741D" w14:textId="356251BC" w:rsidR="00E61C83" w:rsidRPr="002209CA" w:rsidRDefault="002209CA" w:rsidP="00E61C83">
                            <w:pPr>
                              <w:pStyle w:val="ListParagraph"/>
                              <w:ind w:left="0"/>
                              <w:rPr>
                                <w:rFonts w:asciiTheme="majorHAnsi" w:hAnsiTheme="majorHAnsi" w:cstheme="majorHAnsi"/>
                                <w:sz w:val="24"/>
                                <w:szCs w:val="24"/>
                              </w:rPr>
                            </w:pPr>
                            <w:r>
                              <w:rPr>
                                <w:rFonts w:asciiTheme="majorHAnsi" w:hAnsiTheme="majorHAnsi" w:cstheme="majorHAnsi"/>
                                <w:sz w:val="24"/>
                                <w:szCs w:val="24"/>
                              </w:rPr>
                              <w:t>F</w:t>
                            </w:r>
                            <w:r w:rsidR="00E61C83" w:rsidRPr="002209CA">
                              <w:rPr>
                                <w:rFonts w:asciiTheme="majorHAnsi" w:hAnsiTheme="majorHAnsi" w:cstheme="majorHAnsi"/>
                                <w:sz w:val="24"/>
                                <w:szCs w:val="24"/>
                              </w:rPr>
                              <w:t xml:space="preserve">eel free to send to </w:t>
                            </w:r>
                            <w:hyperlink r:id="rId17" w:history="1">
                              <w:r w:rsidR="00E61C83" w:rsidRPr="002209CA">
                                <w:rPr>
                                  <w:rStyle w:val="Hyperlink"/>
                                  <w:rFonts w:asciiTheme="majorHAnsi" w:hAnsiTheme="majorHAnsi" w:cstheme="majorHAnsi"/>
                                  <w:color w:val="auto"/>
                                  <w:sz w:val="24"/>
                                  <w:szCs w:val="24"/>
                                </w:rPr>
                                <w:t>jrproject@cpag.org.uk</w:t>
                              </w:r>
                            </w:hyperlink>
                            <w:r w:rsidR="00E61C83" w:rsidRPr="002209CA">
                              <w:rPr>
                                <w:rFonts w:asciiTheme="majorHAnsi" w:hAnsiTheme="majorHAnsi" w:cstheme="majorHAnsi"/>
                                <w:sz w:val="24"/>
                                <w:szCs w:val="24"/>
                              </w:rPr>
                              <w:t xml:space="preserve"> for review, or if you have any questions as you go through it. </w:t>
                            </w:r>
                          </w:p>
                          <w:p w14:paraId="2D184119" w14:textId="77777777" w:rsidR="00E61C83" w:rsidRPr="002209CA" w:rsidRDefault="00E61C83" w:rsidP="00E61C83">
                            <w:pPr>
                              <w:pStyle w:val="ListParagraph"/>
                              <w:ind w:left="0"/>
                              <w:rPr>
                                <w:rFonts w:asciiTheme="majorHAnsi" w:hAnsiTheme="majorHAnsi" w:cstheme="majorHAnsi"/>
                                <w:color w:val="FF0000"/>
                                <w:sz w:val="24"/>
                                <w:szCs w:val="24"/>
                              </w:rPr>
                            </w:pPr>
                          </w:p>
                          <w:p w14:paraId="16861747" w14:textId="1EF0AF8A" w:rsidR="00E61C83" w:rsidRPr="002209CA" w:rsidRDefault="00E61C83" w:rsidP="00E61C83">
                            <w:pPr>
                              <w:pStyle w:val="ListParagraph"/>
                              <w:ind w:left="0"/>
                              <w:rPr>
                                <w:rFonts w:asciiTheme="majorHAnsi" w:hAnsiTheme="majorHAnsi" w:cstheme="majorHAnsi"/>
                                <w:color w:val="FF0000"/>
                                <w:sz w:val="24"/>
                                <w:szCs w:val="24"/>
                              </w:rPr>
                            </w:pPr>
                            <w:r w:rsidRPr="002209CA">
                              <w:rPr>
                                <w:rFonts w:asciiTheme="majorHAnsi" w:hAnsiTheme="majorHAnsi" w:cstheme="majorHAnsi"/>
                                <w:color w:val="FF0000"/>
                                <w:sz w:val="24"/>
                                <w:szCs w:val="24"/>
                              </w:rPr>
                              <w:t xml:space="preserve">Delete </w:t>
                            </w:r>
                            <w:r w:rsidR="002209CA" w:rsidRPr="002209CA">
                              <w:rPr>
                                <w:rFonts w:asciiTheme="majorHAnsi" w:hAnsiTheme="majorHAnsi" w:cstheme="majorHAnsi"/>
                                <w:color w:val="FF0000"/>
                                <w:sz w:val="24"/>
                                <w:szCs w:val="24"/>
                              </w:rPr>
                              <w:t xml:space="preserve">Box Before </w:t>
                            </w:r>
                            <w:r w:rsidR="002209CA">
                              <w:rPr>
                                <w:rFonts w:asciiTheme="majorHAnsi" w:hAnsiTheme="majorHAnsi" w:cstheme="majorHAnsi"/>
                                <w:color w:val="FF0000"/>
                                <w:sz w:val="24"/>
                                <w:szCs w:val="24"/>
                              </w:rPr>
                              <w:t>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A5FF2" id="_x0000_s1027" type="#_x0000_t202" style="position:absolute;left:0;text-align:left;margin-left:-.8pt;margin-top:0;width:477.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tEQ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">
                <v:textbox style="mso-fit-shape-to-text:t">
                  <w:txbxContent>
                    <w:p w14:paraId="205B7D4B" w14:textId="77777777" w:rsidR="00015F88" w:rsidRPr="002209CA" w:rsidRDefault="00015F88">
                      <w:pPr>
                        <w:rPr>
                          <w:rFonts w:asciiTheme="majorHAnsi" w:hAnsiTheme="majorHAnsi" w:cstheme="majorHAnsi"/>
                          <w:b/>
                          <w:bCs/>
                          <w:sz w:val="24"/>
                          <w:szCs w:val="24"/>
                        </w:rPr>
                      </w:pPr>
                      <w:r w:rsidRPr="002209CA">
                        <w:rPr>
                          <w:rFonts w:asciiTheme="majorHAnsi" w:hAnsiTheme="majorHAnsi" w:cstheme="majorHAnsi"/>
                          <w:b/>
                          <w:bCs/>
                          <w:sz w:val="24"/>
                          <w:szCs w:val="24"/>
                        </w:rPr>
                        <w:t>This letter assumes:</w:t>
                      </w:r>
                    </w:p>
                    <w:p w14:paraId="70E26F86"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C is female</w:t>
                      </w:r>
                    </w:p>
                    <w:p w14:paraId="39DD5A3F"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 xml:space="preserve">C has a new claim advance and a tax credit overpayment – total </w:t>
                      </w:r>
                      <w:r w:rsidR="00E61C83" w:rsidRPr="002209CA">
                        <w:rPr>
                          <w:rFonts w:asciiTheme="majorHAnsi" w:hAnsiTheme="majorHAnsi" w:cstheme="majorHAnsi"/>
                          <w:sz w:val="24"/>
                          <w:szCs w:val="24"/>
                        </w:rPr>
                        <w:t xml:space="preserve">combined </w:t>
                      </w:r>
                      <w:r w:rsidRPr="002209CA">
                        <w:rPr>
                          <w:rFonts w:asciiTheme="majorHAnsi" w:hAnsiTheme="majorHAnsi" w:cstheme="majorHAnsi"/>
                          <w:sz w:val="24"/>
                          <w:szCs w:val="24"/>
                        </w:rPr>
                        <w:t>deduction from UC is 25%</w:t>
                      </w:r>
                    </w:p>
                    <w:p w14:paraId="7BDBF262" w14:textId="77777777" w:rsidR="00015F88" w:rsidRPr="002209CA" w:rsidRDefault="00015F88"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Recovery of her advance has been suspended for 3 months ra</w:t>
                      </w:r>
                      <w:r w:rsidR="00E61C83" w:rsidRPr="002209CA">
                        <w:rPr>
                          <w:rFonts w:asciiTheme="majorHAnsi" w:hAnsiTheme="majorHAnsi" w:cstheme="majorHAnsi"/>
                          <w:sz w:val="24"/>
                          <w:szCs w:val="24"/>
                        </w:rPr>
                        <w:t xml:space="preserve">ther than being reduced C requested it be reduced) </w:t>
                      </w:r>
                    </w:p>
                    <w:p w14:paraId="3FEE8F17" w14:textId="77777777" w:rsidR="00E61C83" w:rsidRPr="002209CA" w:rsidRDefault="00E61C83" w:rsidP="00E61C83">
                      <w:pPr>
                        <w:pStyle w:val="ListParagraph"/>
                        <w:numPr>
                          <w:ilvl w:val="0"/>
                          <w:numId w:val="4"/>
                        </w:numPr>
                        <w:rPr>
                          <w:rFonts w:asciiTheme="majorHAnsi" w:hAnsiTheme="majorHAnsi" w:cstheme="majorHAnsi"/>
                          <w:sz w:val="24"/>
                          <w:szCs w:val="24"/>
                        </w:rPr>
                      </w:pPr>
                      <w:r w:rsidRPr="002209CA">
                        <w:rPr>
                          <w:rFonts w:asciiTheme="majorHAnsi" w:hAnsiTheme="majorHAnsi" w:cstheme="majorHAnsi"/>
                          <w:sz w:val="24"/>
                          <w:szCs w:val="24"/>
                        </w:rPr>
                        <w:t>C’s circumstances have changed since recovery terms were agreed by her.</w:t>
                      </w:r>
                    </w:p>
                    <w:p w14:paraId="3DF43800" w14:textId="77777777" w:rsidR="00E61C83" w:rsidRPr="002209CA" w:rsidRDefault="00E61C83" w:rsidP="00E61C83">
                      <w:pPr>
                        <w:pStyle w:val="ListParagraph"/>
                        <w:rPr>
                          <w:rFonts w:asciiTheme="majorHAnsi" w:hAnsiTheme="majorHAnsi" w:cstheme="majorHAnsi"/>
                          <w:sz w:val="24"/>
                          <w:szCs w:val="24"/>
                        </w:rPr>
                      </w:pPr>
                    </w:p>
                    <w:p w14:paraId="5D153F40" w14:textId="77777777" w:rsidR="00E61C83" w:rsidRPr="002209CA" w:rsidRDefault="00E61C83" w:rsidP="00E61C83">
                      <w:pPr>
                        <w:pStyle w:val="ListParagraph"/>
                        <w:ind w:left="0"/>
                        <w:rPr>
                          <w:rFonts w:asciiTheme="majorHAnsi" w:hAnsiTheme="majorHAnsi" w:cstheme="majorHAnsi"/>
                          <w:sz w:val="24"/>
                          <w:szCs w:val="24"/>
                        </w:rPr>
                      </w:pPr>
                      <w:r w:rsidRPr="002209CA">
                        <w:rPr>
                          <w:rFonts w:asciiTheme="majorHAnsi" w:hAnsiTheme="majorHAnsi" w:cstheme="majorHAnsi"/>
                          <w:sz w:val="24"/>
                          <w:szCs w:val="24"/>
                        </w:rPr>
                        <w:t xml:space="preserve">Edits will be needed if these facts do not apply. Please read the whole letter carefully and edit any text marked with [SQUARE </w:t>
                      </w:r>
                      <w:proofErr w:type="spellStart"/>
                      <w:r w:rsidRPr="002209CA">
                        <w:rPr>
                          <w:rFonts w:asciiTheme="majorHAnsi" w:hAnsiTheme="majorHAnsi" w:cstheme="majorHAnsi"/>
                          <w:sz w:val="24"/>
                          <w:szCs w:val="24"/>
                        </w:rPr>
                        <w:t>BRAKETS</w:t>
                      </w:r>
                      <w:proofErr w:type="spellEnd"/>
                      <w:r w:rsidRPr="002209CA">
                        <w:rPr>
                          <w:rFonts w:asciiTheme="majorHAnsi" w:hAnsiTheme="majorHAnsi" w:cstheme="majorHAnsi"/>
                          <w:sz w:val="24"/>
                          <w:szCs w:val="24"/>
                        </w:rPr>
                        <w:t>].</w:t>
                      </w:r>
                    </w:p>
                    <w:p w14:paraId="13285FA2" w14:textId="77777777" w:rsidR="00E61C83" w:rsidRPr="002209CA" w:rsidRDefault="00E61C83" w:rsidP="00E61C83">
                      <w:pPr>
                        <w:pStyle w:val="ListParagraph"/>
                        <w:ind w:left="0"/>
                        <w:rPr>
                          <w:rFonts w:asciiTheme="majorHAnsi" w:hAnsiTheme="majorHAnsi" w:cstheme="majorHAnsi"/>
                          <w:sz w:val="24"/>
                          <w:szCs w:val="24"/>
                        </w:rPr>
                      </w:pPr>
                    </w:p>
                    <w:p w14:paraId="0EE9741D" w14:textId="356251BC" w:rsidR="00E61C83" w:rsidRPr="002209CA" w:rsidRDefault="002209CA" w:rsidP="00E61C83">
                      <w:pPr>
                        <w:pStyle w:val="ListParagraph"/>
                        <w:ind w:left="0"/>
                        <w:rPr>
                          <w:rFonts w:asciiTheme="majorHAnsi" w:hAnsiTheme="majorHAnsi" w:cstheme="majorHAnsi"/>
                          <w:sz w:val="24"/>
                          <w:szCs w:val="24"/>
                        </w:rPr>
                      </w:pPr>
                      <w:r>
                        <w:rPr>
                          <w:rFonts w:asciiTheme="majorHAnsi" w:hAnsiTheme="majorHAnsi" w:cstheme="majorHAnsi"/>
                          <w:sz w:val="24"/>
                          <w:szCs w:val="24"/>
                        </w:rPr>
                        <w:t>F</w:t>
                      </w:r>
                      <w:r w:rsidR="00E61C83" w:rsidRPr="002209CA">
                        <w:rPr>
                          <w:rFonts w:asciiTheme="majorHAnsi" w:hAnsiTheme="majorHAnsi" w:cstheme="majorHAnsi"/>
                          <w:sz w:val="24"/>
                          <w:szCs w:val="24"/>
                        </w:rPr>
                        <w:t xml:space="preserve">eel free to send to </w:t>
                      </w:r>
                      <w:hyperlink r:id="rId18" w:history="1">
                        <w:r w:rsidR="00E61C83" w:rsidRPr="002209CA">
                          <w:rPr>
                            <w:rStyle w:val="Hyperlink"/>
                            <w:rFonts w:asciiTheme="majorHAnsi" w:hAnsiTheme="majorHAnsi" w:cstheme="majorHAnsi"/>
                            <w:color w:val="auto"/>
                            <w:sz w:val="24"/>
                            <w:szCs w:val="24"/>
                          </w:rPr>
                          <w:t>jrproject@cpag.org.uk</w:t>
                        </w:r>
                      </w:hyperlink>
                      <w:r w:rsidR="00E61C83" w:rsidRPr="002209CA">
                        <w:rPr>
                          <w:rFonts w:asciiTheme="majorHAnsi" w:hAnsiTheme="majorHAnsi" w:cstheme="majorHAnsi"/>
                          <w:sz w:val="24"/>
                          <w:szCs w:val="24"/>
                        </w:rPr>
                        <w:t xml:space="preserve"> for review, or if you have any questions as you go through it. </w:t>
                      </w:r>
                    </w:p>
                    <w:p w14:paraId="2D184119" w14:textId="77777777" w:rsidR="00E61C83" w:rsidRPr="002209CA" w:rsidRDefault="00E61C83" w:rsidP="00E61C83">
                      <w:pPr>
                        <w:pStyle w:val="ListParagraph"/>
                        <w:ind w:left="0"/>
                        <w:rPr>
                          <w:rFonts w:asciiTheme="majorHAnsi" w:hAnsiTheme="majorHAnsi" w:cstheme="majorHAnsi"/>
                          <w:color w:val="FF0000"/>
                          <w:sz w:val="24"/>
                          <w:szCs w:val="24"/>
                        </w:rPr>
                      </w:pPr>
                    </w:p>
                    <w:p w14:paraId="16861747" w14:textId="1EF0AF8A" w:rsidR="00E61C83" w:rsidRPr="002209CA" w:rsidRDefault="00E61C83" w:rsidP="00E61C83">
                      <w:pPr>
                        <w:pStyle w:val="ListParagraph"/>
                        <w:ind w:left="0"/>
                        <w:rPr>
                          <w:rFonts w:asciiTheme="majorHAnsi" w:hAnsiTheme="majorHAnsi" w:cstheme="majorHAnsi"/>
                          <w:color w:val="FF0000"/>
                          <w:sz w:val="24"/>
                          <w:szCs w:val="24"/>
                        </w:rPr>
                      </w:pPr>
                      <w:r w:rsidRPr="002209CA">
                        <w:rPr>
                          <w:rFonts w:asciiTheme="majorHAnsi" w:hAnsiTheme="majorHAnsi" w:cstheme="majorHAnsi"/>
                          <w:color w:val="FF0000"/>
                          <w:sz w:val="24"/>
                          <w:szCs w:val="24"/>
                        </w:rPr>
                        <w:t xml:space="preserve">Delete </w:t>
                      </w:r>
                      <w:r w:rsidR="002209CA" w:rsidRPr="002209CA">
                        <w:rPr>
                          <w:rFonts w:asciiTheme="majorHAnsi" w:hAnsiTheme="majorHAnsi" w:cstheme="majorHAnsi"/>
                          <w:color w:val="FF0000"/>
                          <w:sz w:val="24"/>
                          <w:szCs w:val="24"/>
                        </w:rPr>
                        <w:t xml:space="preserve">Box Before </w:t>
                      </w:r>
                      <w:r w:rsidR="002209CA">
                        <w:rPr>
                          <w:rFonts w:asciiTheme="majorHAnsi" w:hAnsiTheme="majorHAnsi" w:cstheme="majorHAnsi"/>
                          <w:color w:val="FF0000"/>
                          <w:sz w:val="24"/>
                          <w:szCs w:val="24"/>
                        </w:rPr>
                        <w:t>Posting.</w:t>
                      </w:r>
                    </w:p>
                  </w:txbxContent>
                </v:textbox>
                <w10:wrap type="square"/>
              </v:shape>
            </w:pict>
          </mc:Fallback>
        </mc:AlternateContent>
      </w:r>
    </w:p>
    <w:p w14:paraId="3137C54D" w14:textId="34809043" w:rsidR="00015F88" w:rsidRPr="00A64A18" w:rsidRDefault="00015F88" w:rsidP="00015F88">
      <w:pPr>
        <w:shd w:val="clear" w:color="auto" w:fill="FFFFFF"/>
        <w:tabs>
          <w:tab w:val="left" w:pos="3330"/>
        </w:tabs>
        <w:spacing w:after="0" w:line="240" w:lineRule="auto"/>
        <w:jc w:val="both"/>
        <w:rPr>
          <w:rFonts w:asciiTheme="majorHAnsi" w:eastAsia="Times New Roman" w:hAnsiTheme="majorHAnsi" w:cstheme="majorHAnsi"/>
          <w:sz w:val="24"/>
          <w:szCs w:val="24"/>
          <w:highlight w:val="white"/>
        </w:rPr>
      </w:pPr>
    </w:p>
    <w:p w14:paraId="4398F1E4" w14:textId="77777777" w:rsidR="00015F88" w:rsidRPr="00A64A18" w:rsidRDefault="00015F88" w:rsidP="00015F88">
      <w:pPr>
        <w:shd w:val="clear" w:color="auto" w:fill="FFFFFF"/>
        <w:tabs>
          <w:tab w:val="left" w:pos="3330"/>
        </w:tabs>
        <w:spacing w:after="0" w:line="240" w:lineRule="auto"/>
        <w:jc w:val="both"/>
        <w:rPr>
          <w:rFonts w:asciiTheme="majorHAnsi" w:eastAsia="Times New Roman" w:hAnsiTheme="majorHAnsi" w:cstheme="majorHAnsi"/>
          <w:sz w:val="24"/>
          <w:szCs w:val="24"/>
          <w:highlight w:val="white"/>
        </w:rPr>
      </w:pPr>
    </w:p>
    <w:p w14:paraId="6239648F"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r w:rsidRPr="00A64A18">
        <w:rPr>
          <w:rFonts w:asciiTheme="majorHAnsi" w:hAnsiTheme="majorHAnsi" w:cstheme="majorHAnsi"/>
          <w:color w:val="000000" w:themeColor="text1"/>
        </w:rPr>
        <w:t>[address your letter to either the:</w:t>
      </w:r>
    </w:p>
    <w:p w14:paraId="4ED3A3A8"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r w:rsidRPr="00A64A18">
        <w:rPr>
          <w:rFonts w:asciiTheme="majorHAnsi" w:hAnsiTheme="majorHAnsi" w:cstheme="majorHAnsi"/>
          <w:color w:val="000000" w:themeColor="text1"/>
        </w:rPr>
        <w:t xml:space="preserve">address on your client’s decision letter, </w:t>
      </w:r>
    </w:p>
    <w:p w14:paraId="283A387A"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r w:rsidRPr="00A64A18">
        <w:rPr>
          <w:rFonts w:asciiTheme="majorHAnsi" w:hAnsiTheme="majorHAnsi" w:cstheme="majorHAnsi"/>
          <w:color w:val="000000" w:themeColor="text1"/>
        </w:rPr>
        <w:t>address your client sent their claim to, or</w:t>
      </w:r>
    </w:p>
    <w:p w14:paraId="5C956EFE"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r w:rsidRPr="00A64A18">
        <w:rPr>
          <w:rFonts w:asciiTheme="majorHAnsi" w:hAnsiTheme="majorHAnsi" w:cstheme="majorHAnsi"/>
          <w:color w:val="000000" w:themeColor="text1"/>
        </w:rPr>
        <w:t>address on relevant DWP correspondence; or</w:t>
      </w:r>
    </w:p>
    <w:p w14:paraId="6BCFFBD5"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r w:rsidRPr="00A64A18">
        <w:rPr>
          <w:rFonts w:asciiTheme="majorHAnsi" w:hAnsiTheme="majorHAnsi" w:cstheme="majorHAnsi"/>
          <w:color w:val="000000" w:themeColor="text1"/>
        </w:rPr>
        <w:t>request an upload link to post it to your client’s online UC account]</w:t>
      </w:r>
    </w:p>
    <w:p w14:paraId="24FD1A5C"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p>
    <w:p w14:paraId="1CE8F831" w14:textId="77777777" w:rsidR="004615C8" w:rsidRPr="00A64A18" w:rsidRDefault="004615C8" w:rsidP="004615C8">
      <w:pPr>
        <w:pStyle w:val="NormalWeb"/>
        <w:spacing w:before="0" w:beforeAutospacing="0" w:after="0" w:afterAutospacing="0"/>
        <w:rPr>
          <w:rFonts w:asciiTheme="majorHAnsi" w:hAnsiTheme="majorHAnsi" w:cstheme="majorHAnsi"/>
          <w:color w:val="000000" w:themeColor="text1"/>
        </w:rPr>
      </w:pPr>
    </w:p>
    <w:p w14:paraId="30862F31" w14:textId="77777777" w:rsidR="004615C8" w:rsidRPr="00A64A18" w:rsidRDefault="004615C8" w:rsidP="004615C8">
      <w:pPr>
        <w:pStyle w:val="NormalWeb"/>
        <w:spacing w:before="0" w:beforeAutospacing="0" w:after="0" w:afterAutospacing="0"/>
        <w:rPr>
          <w:rFonts w:asciiTheme="majorHAnsi" w:hAnsiTheme="majorHAnsi" w:cstheme="majorHAnsi"/>
          <w:i/>
          <w:iCs/>
          <w:color w:val="000000" w:themeColor="text1"/>
        </w:rPr>
      </w:pPr>
      <w:r w:rsidRPr="00A64A18">
        <w:rPr>
          <w:rFonts w:asciiTheme="majorHAnsi" w:hAnsiTheme="majorHAnsi" w:cstheme="majorHAnsi"/>
          <w:b/>
          <w:bCs/>
          <w:color w:val="000000" w:themeColor="text1"/>
        </w:rPr>
        <w:t>And by email to:</w:t>
      </w:r>
      <w:r w:rsidRPr="00A64A18">
        <w:rPr>
          <w:rFonts w:asciiTheme="majorHAnsi" w:hAnsiTheme="majorHAnsi" w:cstheme="majorHAnsi"/>
          <w:color w:val="000000" w:themeColor="text1"/>
        </w:rPr>
        <w:t xml:space="preserve"> </w:t>
      </w:r>
      <w:hyperlink r:id="rId19" w:history="1">
        <w:r w:rsidRPr="00A64A18">
          <w:rPr>
            <w:rStyle w:val="Hyperlink"/>
            <w:rFonts w:asciiTheme="majorHAnsi" w:hAnsiTheme="majorHAnsi" w:cstheme="majorHAnsi"/>
            <w:shd w:val="clear" w:color="auto" w:fill="FFFFFF"/>
          </w:rPr>
          <w:t>thetreasurysolicitor@governmentlegal.gov.uk</w:t>
        </w:r>
      </w:hyperlink>
    </w:p>
    <w:p w14:paraId="26CD37E7" w14:textId="77777777" w:rsidR="004615C8" w:rsidRPr="00A64A18" w:rsidRDefault="004615C8" w:rsidP="004615C8">
      <w:pPr>
        <w:pStyle w:val="NormalWeb"/>
        <w:spacing w:line="360" w:lineRule="auto"/>
        <w:rPr>
          <w:rStyle w:val="Strong"/>
          <w:rFonts w:asciiTheme="majorHAnsi" w:hAnsiTheme="majorHAnsi" w:cstheme="majorHAnsi"/>
          <w:b w:val="0"/>
          <w:bCs w:val="0"/>
          <w:color w:val="000000" w:themeColor="text1"/>
        </w:rPr>
      </w:pPr>
      <w:r w:rsidRPr="00A64A18">
        <w:rPr>
          <w:rStyle w:val="Strong"/>
          <w:rFonts w:asciiTheme="majorHAnsi" w:hAnsiTheme="majorHAnsi" w:cstheme="majorHAnsi"/>
          <w:b w:val="0"/>
          <w:bCs w:val="0"/>
          <w:color w:val="000000" w:themeColor="text1"/>
        </w:rPr>
        <w:t>Our Ref:</w:t>
      </w:r>
    </w:p>
    <w:p w14:paraId="29E66F3D" w14:textId="77777777" w:rsidR="004615C8" w:rsidRPr="00A64A18" w:rsidRDefault="004615C8" w:rsidP="004615C8">
      <w:pPr>
        <w:pStyle w:val="NormalWeb"/>
        <w:spacing w:line="360" w:lineRule="auto"/>
        <w:rPr>
          <w:rStyle w:val="Strong"/>
          <w:rFonts w:asciiTheme="majorHAnsi" w:hAnsiTheme="majorHAnsi" w:cstheme="majorHAnsi"/>
          <w:b w:val="0"/>
          <w:bCs w:val="0"/>
        </w:rPr>
      </w:pPr>
      <w:r w:rsidRPr="00A64A18">
        <w:rPr>
          <w:rStyle w:val="Strong"/>
          <w:rFonts w:asciiTheme="majorHAnsi" w:hAnsiTheme="majorHAnsi" w:cstheme="majorHAnsi"/>
          <w:b w:val="0"/>
          <w:bCs w:val="0"/>
        </w:rPr>
        <w:lastRenderedPageBreak/>
        <w:t>Date:</w:t>
      </w:r>
    </w:p>
    <w:p w14:paraId="0846343B" w14:textId="77777777" w:rsidR="004615C8" w:rsidRPr="00A64A18" w:rsidRDefault="004615C8" w:rsidP="004615C8">
      <w:pPr>
        <w:pStyle w:val="NormalWeb"/>
        <w:spacing w:line="360" w:lineRule="auto"/>
        <w:jc w:val="center"/>
        <w:rPr>
          <w:rStyle w:val="Strong"/>
          <w:rFonts w:asciiTheme="majorHAnsi" w:hAnsiTheme="majorHAnsi" w:cstheme="majorHAnsi"/>
          <w:bCs w:val="0"/>
          <w:color w:val="000000" w:themeColor="text1"/>
        </w:rPr>
      </w:pPr>
      <w:r w:rsidRPr="00A64A18">
        <w:rPr>
          <w:rStyle w:val="Strong"/>
          <w:rFonts w:asciiTheme="majorHAnsi" w:hAnsiTheme="majorHAnsi" w:cstheme="majorHAnsi"/>
          <w:color w:val="000000" w:themeColor="text1"/>
        </w:rPr>
        <w:t>Judicial Review Pre-Action Protocol Letter Before Claim</w:t>
      </w:r>
    </w:p>
    <w:p w14:paraId="084E7056" w14:textId="77777777" w:rsidR="004615C8" w:rsidRPr="00A64A18" w:rsidRDefault="004615C8" w:rsidP="004615C8">
      <w:pPr>
        <w:pStyle w:val="NormalWeb"/>
        <w:spacing w:line="360" w:lineRule="auto"/>
        <w:rPr>
          <w:rStyle w:val="Strong"/>
          <w:rFonts w:asciiTheme="majorHAnsi" w:hAnsiTheme="majorHAnsi" w:cstheme="majorHAnsi"/>
          <w:b w:val="0"/>
          <w:bCs w:val="0"/>
          <w:color w:val="000000" w:themeColor="text1"/>
        </w:rPr>
      </w:pPr>
      <w:r w:rsidRPr="00A64A18">
        <w:rPr>
          <w:rStyle w:val="Strong"/>
          <w:rFonts w:asciiTheme="majorHAnsi" w:hAnsiTheme="majorHAnsi" w:cstheme="majorHAnsi"/>
          <w:b w:val="0"/>
          <w:bCs w:val="0"/>
          <w:color w:val="000000" w:themeColor="text1"/>
        </w:rPr>
        <w:t>Dear Sir or Madam,</w:t>
      </w:r>
    </w:p>
    <w:p w14:paraId="44384FDC" w14:textId="77777777" w:rsidR="004615C8" w:rsidRPr="00A64A18" w:rsidRDefault="004615C8" w:rsidP="004615C8">
      <w:pPr>
        <w:pStyle w:val="NormalWeb"/>
        <w:spacing w:line="360" w:lineRule="auto"/>
        <w:ind w:left="720" w:hanging="720"/>
        <w:rPr>
          <w:rFonts w:asciiTheme="majorHAnsi" w:hAnsiTheme="majorHAnsi" w:cstheme="majorHAnsi"/>
          <w:b/>
          <w:bCs/>
          <w:color w:val="000000" w:themeColor="text1"/>
        </w:rPr>
      </w:pPr>
      <w:r w:rsidRPr="00A64A18">
        <w:rPr>
          <w:rStyle w:val="Strong"/>
          <w:rFonts w:asciiTheme="majorHAnsi" w:hAnsiTheme="majorHAnsi" w:cstheme="majorHAnsi"/>
          <w:color w:val="000000" w:themeColor="text1"/>
        </w:rPr>
        <w:t xml:space="preserve">Re: </w:t>
      </w:r>
      <w:r w:rsidRPr="00A64A18">
        <w:rPr>
          <w:rStyle w:val="Strong"/>
          <w:rFonts w:asciiTheme="majorHAnsi" w:hAnsiTheme="majorHAnsi" w:cstheme="majorHAnsi"/>
          <w:color w:val="000000" w:themeColor="text1"/>
        </w:rPr>
        <w:tab/>
        <w:t>Proposed claim for judicial review against the Secretary of State for Work and Pensions  by [full name</w:t>
      </w:r>
      <w:r w:rsidRPr="00A64A18">
        <w:rPr>
          <w:rStyle w:val="Strong"/>
          <w:rFonts w:asciiTheme="majorHAnsi" w:hAnsiTheme="majorHAnsi" w:cstheme="majorHAnsi"/>
        </w:rPr>
        <w:t>]</w:t>
      </w:r>
    </w:p>
    <w:p w14:paraId="6D202E6E"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color w:val="FF0000"/>
          <w:sz w:val="24"/>
          <w:szCs w:val="24"/>
          <w:highlight w:val="white"/>
        </w:rPr>
      </w:pPr>
      <w:r w:rsidRPr="00A64A18">
        <w:rPr>
          <w:rFonts w:asciiTheme="majorHAnsi" w:eastAsia="Times New Roman" w:hAnsiTheme="majorHAnsi" w:cstheme="majorHAnsi"/>
          <w:sz w:val="24"/>
          <w:szCs w:val="24"/>
          <w:highlight w:val="white"/>
        </w:rPr>
        <w:t xml:space="preserve">We are instructed by </w:t>
      </w:r>
      <w:r w:rsidRPr="00A64A18">
        <w:rPr>
          <w:rFonts w:asciiTheme="majorHAnsi" w:eastAsia="Times New Roman" w:hAnsiTheme="majorHAnsi" w:cstheme="majorHAnsi"/>
          <w:b/>
          <w:sz w:val="24"/>
          <w:szCs w:val="24"/>
          <w:highlight w:val="white"/>
        </w:rPr>
        <w:t xml:space="preserve">[NAME] </w:t>
      </w:r>
      <w:r w:rsidRPr="00A64A18">
        <w:rPr>
          <w:rFonts w:asciiTheme="majorHAnsi" w:eastAsia="Times New Roman" w:hAnsiTheme="majorHAnsi" w:cstheme="majorHAnsi"/>
          <w:sz w:val="24"/>
          <w:szCs w:val="24"/>
          <w:highlight w:val="white"/>
        </w:rPr>
        <w:t xml:space="preserve">in </w:t>
      </w:r>
      <w:r w:rsidRPr="00A64A18">
        <w:rPr>
          <w:rFonts w:asciiTheme="majorHAnsi" w:eastAsia="Times New Roman" w:hAnsiTheme="majorHAnsi" w:cstheme="majorHAnsi"/>
          <w:color w:val="000000" w:themeColor="text1"/>
          <w:sz w:val="24"/>
          <w:szCs w:val="24"/>
          <w:highlight w:val="white"/>
        </w:rPr>
        <w:t xml:space="preserve">relation to her Universal </w:t>
      </w:r>
      <w:r w:rsidRPr="00A64A18">
        <w:rPr>
          <w:rFonts w:asciiTheme="majorHAnsi" w:eastAsia="Times New Roman" w:hAnsiTheme="majorHAnsi" w:cstheme="majorHAnsi"/>
          <w:sz w:val="24"/>
          <w:szCs w:val="24"/>
          <w:highlight w:val="white"/>
        </w:rPr>
        <w:t>Credit (“</w:t>
      </w:r>
      <w:r w:rsidRPr="00A64A18">
        <w:rPr>
          <w:rFonts w:asciiTheme="majorHAnsi" w:eastAsia="Times New Roman" w:hAnsiTheme="majorHAnsi" w:cstheme="majorHAnsi"/>
          <w:b/>
          <w:sz w:val="24"/>
          <w:szCs w:val="24"/>
          <w:highlight w:val="white"/>
        </w:rPr>
        <w:t>UC</w:t>
      </w:r>
      <w:r w:rsidRPr="00A64A18">
        <w:rPr>
          <w:rFonts w:asciiTheme="majorHAnsi" w:eastAsia="Times New Roman" w:hAnsiTheme="majorHAnsi" w:cstheme="majorHAnsi"/>
          <w:sz w:val="24"/>
          <w:szCs w:val="24"/>
          <w:highlight w:val="white"/>
        </w:rPr>
        <w:t xml:space="preserve">”) claim. We write in accordance with the Pre-action Protocol for judicial review.  Please note that we are requesting your response as soon as possible and in any event no later than </w:t>
      </w:r>
      <w:proofErr w:type="spellStart"/>
      <w:r w:rsidRPr="00A64A18">
        <w:rPr>
          <w:rFonts w:asciiTheme="majorHAnsi" w:eastAsia="Times New Roman" w:hAnsiTheme="majorHAnsi" w:cstheme="majorHAnsi"/>
          <w:sz w:val="24"/>
          <w:szCs w:val="24"/>
          <w:highlight w:val="white"/>
        </w:rPr>
        <w:t>4pm</w:t>
      </w:r>
      <w:proofErr w:type="spellEnd"/>
      <w:r w:rsidRPr="00A64A18">
        <w:rPr>
          <w:rFonts w:asciiTheme="majorHAnsi" w:eastAsia="Times New Roman" w:hAnsiTheme="majorHAnsi" w:cstheme="majorHAnsi"/>
          <w:sz w:val="24"/>
          <w:szCs w:val="24"/>
          <w:highlight w:val="white"/>
        </w:rPr>
        <w:t xml:space="preserve"> on </w:t>
      </w:r>
      <w:r w:rsidRPr="00A64A18">
        <w:rPr>
          <w:rFonts w:asciiTheme="majorHAnsi" w:eastAsia="Times New Roman" w:hAnsiTheme="majorHAnsi" w:cstheme="majorHAnsi"/>
          <w:color w:val="FF0000"/>
          <w:sz w:val="24"/>
          <w:szCs w:val="24"/>
          <w:highlight w:val="white"/>
        </w:rPr>
        <w:t>DATE.</w:t>
      </w:r>
    </w:p>
    <w:p w14:paraId="06A211CD"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5FD9280C" w14:textId="77777777" w:rsidR="003B447C" w:rsidRPr="00A64A18" w:rsidRDefault="003B447C" w:rsidP="003B447C">
      <w:pPr>
        <w:pStyle w:val="NormalWeb"/>
        <w:spacing w:before="0" w:beforeAutospacing="0" w:after="0" w:afterAutospacing="0" w:line="360" w:lineRule="auto"/>
        <w:rPr>
          <w:rFonts w:asciiTheme="majorHAnsi" w:hAnsiTheme="majorHAnsi" w:cstheme="majorHAnsi"/>
          <w:bCs/>
          <w:color w:val="000000" w:themeColor="text1"/>
        </w:rPr>
      </w:pPr>
      <w:r w:rsidRPr="00A64A18">
        <w:rPr>
          <w:rFonts w:asciiTheme="majorHAnsi" w:hAnsiTheme="majorHAnsi" w:cstheme="majorHAnsi"/>
          <w:b/>
          <w:color w:val="000000" w:themeColor="text1"/>
        </w:rPr>
        <w:t xml:space="preserve">Proposed Defendant:   </w:t>
      </w:r>
      <w:r w:rsidRPr="00A64A18">
        <w:rPr>
          <w:rStyle w:val="Strong"/>
          <w:rFonts w:asciiTheme="majorHAnsi" w:hAnsiTheme="majorHAnsi" w:cstheme="majorHAnsi"/>
          <w:color w:val="000000" w:themeColor="text1"/>
        </w:rPr>
        <w:t>S</w:t>
      </w:r>
      <w:r w:rsidRPr="00A64A18">
        <w:rPr>
          <w:rStyle w:val="Strong"/>
          <w:rFonts w:asciiTheme="majorHAnsi" w:hAnsiTheme="majorHAnsi" w:cstheme="majorHAnsi"/>
          <w:b w:val="0"/>
          <w:bCs w:val="0"/>
          <w:color w:val="000000" w:themeColor="text1"/>
        </w:rPr>
        <w:t>ecretary of State for Work and Pensions (“</w:t>
      </w:r>
      <w:r w:rsidRPr="00A64A18">
        <w:rPr>
          <w:rStyle w:val="Strong"/>
          <w:rFonts w:asciiTheme="majorHAnsi" w:hAnsiTheme="majorHAnsi" w:cstheme="majorHAnsi"/>
          <w:color w:val="000000" w:themeColor="text1"/>
        </w:rPr>
        <w:t>D</w:t>
      </w:r>
      <w:r w:rsidRPr="00A64A18">
        <w:rPr>
          <w:rStyle w:val="Strong"/>
          <w:rFonts w:asciiTheme="majorHAnsi" w:hAnsiTheme="majorHAnsi" w:cstheme="majorHAnsi"/>
          <w:b w:val="0"/>
          <w:bCs w:val="0"/>
          <w:color w:val="000000" w:themeColor="text1"/>
        </w:rPr>
        <w:t>”)(“</w:t>
      </w:r>
      <w:r w:rsidRPr="00A64A18">
        <w:rPr>
          <w:rStyle w:val="Strong"/>
          <w:rFonts w:asciiTheme="majorHAnsi" w:hAnsiTheme="majorHAnsi" w:cstheme="majorHAnsi"/>
          <w:color w:val="000000" w:themeColor="text1"/>
        </w:rPr>
        <w:t>SSWP</w:t>
      </w:r>
      <w:r w:rsidRPr="00A64A18">
        <w:rPr>
          <w:rStyle w:val="Strong"/>
          <w:rFonts w:asciiTheme="majorHAnsi" w:hAnsiTheme="majorHAnsi" w:cstheme="majorHAnsi"/>
          <w:b w:val="0"/>
          <w:bCs w:val="0"/>
          <w:color w:val="000000" w:themeColor="text1"/>
        </w:rPr>
        <w:t>”)</w:t>
      </w:r>
    </w:p>
    <w:p w14:paraId="28E22FD0" w14:textId="77777777" w:rsidR="003B447C" w:rsidRPr="00A64A18" w:rsidRDefault="003B447C" w:rsidP="003B447C">
      <w:pPr>
        <w:pStyle w:val="NormalWeb"/>
        <w:spacing w:before="0" w:beforeAutospacing="0" w:after="0" w:afterAutospacing="0" w:line="360" w:lineRule="auto"/>
        <w:rPr>
          <w:rFonts w:asciiTheme="majorHAnsi" w:hAnsiTheme="majorHAnsi" w:cstheme="majorHAnsi"/>
          <w:b/>
          <w:bCs/>
          <w:color w:val="000000" w:themeColor="text1"/>
        </w:rPr>
      </w:pPr>
      <w:r w:rsidRPr="00A64A18">
        <w:rPr>
          <w:rFonts w:asciiTheme="majorHAnsi" w:hAnsiTheme="majorHAnsi" w:cstheme="majorHAnsi"/>
          <w:b/>
          <w:color w:val="000000" w:themeColor="text1"/>
        </w:rPr>
        <w:t xml:space="preserve">Claimant: </w:t>
      </w:r>
      <w:r w:rsidRPr="00A64A18">
        <w:rPr>
          <w:rFonts w:asciiTheme="majorHAnsi" w:hAnsiTheme="majorHAnsi" w:cstheme="majorHAnsi"/>
          <w:b/>
          <w:color w:val="000000" w:themeColor="text1"/>
        </w:rPr>
        <w:tab/>
      </w:r>
      <w:r w:rsidRPr="00A64A18">
        <w:rPr>
          <w:rFonts w:asciiTheme="majorHAnsi" w:hAnsiTheme="majorHAnsi" w:cstheme="majorHAnsi"/>
          <w:b/>
          <w:color w:val="000000" w:themeColor="text1"/>
        </w:rPr>
        <w:tab/>
      </w:r>
      <w:r w:rsidRPr="00A64A18">
        <w:rPr>
          <w:rFonts w:asciiTheme="majorHAnsi" w:hAnsiTheme="majorHAnsi" w:cstheme="majorHAnsi"/>
          <w:bCs/>
          <w:color w:val="000000" w:themeColor="text1"/>
        </w:rPr>
        <w:t>[full name]</w:t>
      </w:r>
      <w:r w:rsidRPr="00A64A18">
        <w:rPr>
          <w:rFonts w:asciiTheme="majorHAnsi" w:hAnsiTheme="majorHAnsi" w:cstheme="majorHAnsi"/>
          <w:color w:val="000000" w:themeColor="text1"/>
        </w:rPr>
        <w:t xml:space="preserve"> (“</w:t>
      </w:r>
      <w:r w:rsidRPr="00A64A18">
        <w:rPr>
          <w:rFonts w:asciiTheme="majorHAnsi" w:hAnsiTheme="majorHAnsi" w:cstheme="majorHAnsi"/>
          <w:b/>
          <w:color w:val="000000" w:themeColor="text1"/>
        </w:rPr>
        <w:t>C</w:t>
      </w:r>
      <w:r w:rsidRPr="00A64A18">
        <w:rPr>
          <w:rFonts w:asciiTheme="majorHAnsi" w:hAnsiTheme="majorHAnsi" w:cstheme="majorHAnsi"/>
          <w:color w:val="000000" w:themeColor="text1"/>
        </w:rPr>
        <w:t>”)</w:t>
      </w:r>
    </w:p>
    <w:p w14:paraId="0850F976" w14:textId="77777777" w:rsidR="003B447C" w:rsidRPr="00A64A18" w:rsidRDefault="003B447C" w:rsidP="003B447C">
      <w:pPr>
        <w:pStyle w:val="NormalWeb"/>
        <w:spacing w:before="0" w:beforeAutospacing="0" w:after="0" w:afterAutospacing="0" w:line="360" w:lineRule="auto"/>
        <w:rPr>
          <w:rFonts w:asciiTheme="majorHAnsi" w:hAnsiTheme="majorHAnsi" w:cstheme="majorHAnsi"/>
          <w:color w:val="000000" w:themeColor="text1"/>
        </w:rPr>
      </w:pPr>
      <w:proofErr w:type="spellStart"/>
      <w:r w:rsidRPr="00A64A18">
        <w:rPr>
          <w:rFonts w:asciiTheme="majorHAnsi" w:hAnsiTheme="majorHAnsi" w:cstheme="majorHAnsi"/>
          <w:b/>
          <w:color w:val="000000" w:themeColor="text1"/>
        </w:rPr>
        <w:t>NINo</w:t>
      </w:r>
      <w:proofErr w:type="spellEnd"/>
      <w:r w:rsidRPr="00A64A18">
        <w:rPr>
          <w:rFonts w:asciiTheme="majorHAnsi" w:hAnsiTheme="majorHAnsi" w:cstheme="majorHAnsi"/>
          <w:b/>
          <w:color w:val="000000" w:themeColor="text1"/>
        </w:rPr>
        <w:t xml:space="preserve">: </w:t>
      </w:r>
      <w:r w:rsidRPr="00A64A18">
        <w:rPr>
          <w:rFonts w:asciiTheme="majorHAnsi" w:hAnsiTheme="majorHAnsi" w:cstheme="majorHAnsi"/>
          <w:b/>
          <w:color w:val="000000" w:themeColor="text1"/>
        </w:rPr>
        <w:tab/>
      </w:r>
      <w:r w:rsidRPr="00A64A18">
        <w:rPr>
          <w:rFonts w:asciiTheme="majorHAnsi" w:hAnsiTheme="majorHAnsi" w:cstheme="majorHAnsi"/>
          <w:b/>
          <w:color w:val="000000" w:themeColor="text1"/>
        </w:rPr>
        <w:tab/>
      </w:r>
      <w:r w:rsidRPr="00A64A18">
        <w:rPr>
          <w:rFonts w:asciiTheme="majorHAnsi" w:hAnsiTheme="majorHAnsi" w:cstheme="majorHAnsi"/>
          <w:b/>
          <w:color w:val="000000" w:themeColor="text1"/>
        </w:rPr>
        <w:tab/>
      </w:r>
      <w:r w:rsidRPr="00A64A18">
        <w:rPr>
          <w:rFonts w:asciiTheme="majorHAnsi" w:hAnsiTheme="majorHAnsi" w:cstheme="majorHAnsi"/>
          <w:bCs/>
          <w:color w:val="000000" w:themeColor="text1"/>
        </w:rPr>
        <w:t>[</w:t>
      </w:r>
      <w:proofErr w:type="spellStart"/>
      <w:r w:rsidRPr="00A64A18">
        <w:rPr>
          <w:rFonts w:asciiTheme="majorHAnsi" w:hAnsiTheme="majorHAnsi" w:cstheme="majorHAnsi"/>
          <w:bCs/>
          <w:color w:val="000000" w:themeColor="text1"/>
        </w:rPr>
        <w:t>xxxx</w:t>
      </w:r>
      <w:proofErr w:type="spellEnd"/>
      <w:r w:rsidRPr="00A64A18">
        <w:rPr>
          <w:rFonts w:asciiTheme="majorHAnsi" w:hAnsiTheme="majorHAnsi" w:cstheme="majorHAnsi"/>
          <w:bCs/>
          <w:color w:val="000000" w:themeColor="text1"/>
        </w:rPr>
        <w:t>]</w:t>
      </w:r>
    </w:p>
    <w:p w14:paraId="257ECE81" w14:textId="77777777" w:rsidR="003B447C" w:rsidRPr="00A64A18" w:rsidRDefault="003B447C" w:rsidP="003B447C">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A64A18">
        <w:rPr>
          <w:rFonts w:asciiTheme="majorHAnsi" w:hAnsiTheme="majorHAnsi" w:cstheme="majorHAnsi"/>
          <w:b/>
          <w:color w:val="000000" w:themeColor="text1"/>
        </w:rPr>
        <w:t>Address:</w:t>
      </w:r>
      <w:r w:rsidRPr="00A64A18">
        <w:rPr>
          <w:rFonts w:asciiTheme="majorHAnsi" w:hAnsiTheme="majorHAnsi" w:cstheme="majorHAnsi"/>
          <w:b/>
          <w:color w:val="000000" w:themeColor="text1"/>
        </w:rPr>
        <w:tab/>
      </w:r>
      <w:r w:rsidRPr="00A64A18">
        <w:rPr>
          <w:rFonts w:asciiTheme="majorHAnsi" w:hAnsiTheme="majorHAnsi" w:cstheme="majorHAnsi"/>
          <w:bCs/>
          <w:color w:val="000000" w:themeColor="text1"/>
        </w:rPr>
        <w:t>[</w:t>
      </w:r>
      <w:proofErr w:type="spellStart"/>
      <w:r w:rsidRPr="00A64A18">
        <w:rPr>
          <w:rFonts w:asciiTheme="majorHAnsi" w:hAnsiTheme="majorHAnsi" w:cstheme="majorHAnsi"/>
          <w:bCs/>
          <w:color w:val="000000" w:themeColor="text1"/>
        </w:rPr>
        <w:t>xxxx</w:t>
      </w:r>
      <w:proofErr w:type="spellEnd"/>
      <w:r w:rsidRPr="00A64A18">
        <w:rPr>
          <w:rFonts w:asciiTheme="majorHAnsi" w:hAnsiTheme="majorHAnsi" w:cstheme="majorHAnsi"/>
          <w:bCs/>
          <w:color w:val="000000" w:themeColor="text1"/>
        </w:rPr>
        <w:t>]</w:t>
      </w:r>
    </w:p>
    <w:p w14:paraId="0CC4EBE8" w14:textId="77777777" w:rsidR="003B447C" w:rsidRPr="00A64A18" w:rsidRDefault="003B447C" w:rsidP="003B447C">
      <w:pPr>
        <w:pStyle w:val="NormalWeb"/>
        <w:spacing w:before="0" w:beforeAutospacing="0" w:after="0" w:afterAutospacing="0" w:line="360" w:lineRule="auto"/>
        <w:rPr>
          <w:rStyle w:val="sectionitemno"/>
          <w:rFonts w:asciiTheme="majorHAnsi" w:hAnsiTheme="majorHAnsi" w:cstheme="majorHAnsi"/>
          <w:color w:val="000000" w:themeColor="text1"/>
        </w:rPr>
      </w:pPr>
      <w:r w:rsidRPr="00A64A18">
        <w:rPr>
          <w:rStyle w:val="sectionitemno"/>
          <w:rFonts w:asciiTheme="majorHAnsi" w:hAnsiTheme="majorHAnsi" w:cstheme="majorHAnsi"/>
          <w:b/>
          <w:color w:val="000000" w:themeColor="text1"/>
        </w:rPr>
        <w:t>Date of Birth:</w:t>
      </w:r>
      <w:r w:rsidRPr="00A64A18">
        <w:rPr>
          <w:rStyle w:val="sectionitemno"/>
          <w:rFonts w:asciiTheme="majorHAnsi" w:hAnsiTheme="majorHAnsi" w:cstheme="majorHAnsi"/>
          <w:color w:val="000000" w:themeColor="text1"/>
        </w:rPr>
        <w:tab/>
      </w:r>
      <w:r w:rsidRPr="00A64A18">
        <w:rPr>
          <w:rStyle w:val="sectionitemno"/>
          <w:rFonts w:asciiTheme="majorHAnsi" w:hAnsiTheme="majorHAnsi" w:cstheme="majorHAnsi"/>
          <w:color w:val="000000" w:themeColor="text1"/>
        </w:rPr>
        <w:tab/>
      </w:r>
      <w:r w:rsidRPr="00A64A18">
        <w:rPr>
          <w:rFonts w:asciiTheme="majorHAnsi" w:hAnsiTheme="majorHAnsi" w:cstheme="majorHAnsi"/>
          <w:bCs/>
          <w:color w:val="000000" w:themeColor="text1"/>
        </w:rPr>
        <w:t>[</w:t>
      </w:r>
      <w:proofErr w:type="spellStart"/>
      <w:r w:rsidRPr="00A64A18">
        <w:rPr>
          <w:rFonts w:asciiTheme="majorHAnsi" w:hAnsiTheme="majorHAnsi" w:cstheme="majorHAnsi"/>
          <w:bCs/>
          <w:color w:val="000000" w:themeColor="text1"/>
        </w:rPr>
        <w:t>xxxx</w:t>
      </w:r>
      <w:proofErr w:type="spellEnd"/>
      <w:r w:rsidRPr="00A64A18">
        <w:rPr>
          <w:rFonts w:asciiTheme="majorHAnsi" w:hAnsiTheme="majorHAnsi" w:cstheme="majorHAnsi"/>
          <w:bCs/>
          <w:color w:val="000000" w:themeColor="text1"/>
        </w:rPr>
        <w:t>]</w:t>
      </w:r>
    </w:p>
    <w:p w14:paraId="799AC9DE" w14:textId="77777777" w:rsidR="003B447C" w:rsidRPr="00A64A18" w:rsidRDefault="003B447C" w:rsidP="003B447C">
      <w:pPr>
        <w:pStyle w:val="NormalWeb"/>
        <w:spacing w:before="0" w:beforeAutospacing="0" w:after="0" w:afterAutospacing="0" w:line="360" w:lineRule="auto"/>
        <w:rPr>
          <w:rStyle w:val="sectionitemno"/>
          <w:rFonts w:asciiTheme="majorHAnsi" w:hAnsiTheme="majorHAnsi" w:cstheme="majorHAnsi"/>
          <w:color w:val="000000" w:themeColor="text1"/>
        </w:rPr>
      </w:pPr>
    </w:p>
    <w:p w14:paraId="423F3865" w14:textId="77777777" w:rsidR="003B447C" w:rsidRPr="00A64A18" w:rsidRDefault="003B447C" w:rsidP="003B447C">
      <w:pPr>
        <w:spacing w:line="360" w:lineRule="auto"/>
        <w:ind w:left="567" w:hanging="567"/>
        <w:jc w:val="both"/>
        <w:rPr>
          <w:rFonts w:asciiTheme="majorHAnsi" w:hAnsiTheme="majorHAnsi" w:cstheme="majorHAnsi"/>
          <w:b/>
          <w:bCs/>
          <w:sz w:val="24"/>
          <w:szCs w:val="24"/>
        </w:rPr>
      </w:pPr>
      <w:r w:rsidRPr="00A64A18">
        <w:rPr>
          <w:rFonts w:asciiTheme="majorHAnsi" w:hAnsiTheme="majorHAnsi" w:cstheme="majorHAnsi"/>
          <w:b/>
          <w:bCs/>
          <w:sz w:val="24"/>
          <w:szCs w:val="24"/>
        </w:rPr>
        <w:t>Note on the address for Pre-action Protocol correspondence</w:t>
      </w:r>
    </w:p>
    <w:p w14:paraId="0E634027" w14:textId="77777777" w:rsidR="003B447C" w:rsidRPr="00A64A18" w:rsidRDefault="003B447C" w:rsidP="003B447C">
      <w:pPr>
        <w:pStyle w:val="ListParagraph"/>
        <w:numPr>
          <w:ilvl w:val="0"/>
          <w:numId w:val="5"/>
        </w:numPr>
        <w:spacing w:after="160" w:line="360" w:lineRule="auto"/>
        <w:jc w:val="both"/>
        <w:rPr>
          <w:rFonts w:asciiTheme="majorHAnsi" w:hAnsiTheme="majorHAnsi" w:cstheme="majorHAnsi"/>
          <w:color w:val="000000"/>
          <w:sz w:val="24"/>
          <w:szCs w:val="24"/>
        </w:rPr>
      </w:pPr>
      <w:r w:rsidRPr="00A64A18">
        <w:rPr>
          <w:rFonts w:asciiTheme="majorHAnsi" w:hAnsiTheme="majorHAnsi" w:cstheme="majorHAnsi"/>
          <w:sz w:val="24"/>
          <w:szCs w:val="24"/>
        </w:rPr>
        <w:t xml:space="preserve">This letter is sent to you because in February 2024 a </w:t>
      </w:r>
      <w:r w:rsidRPr="00A64A18">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A64A18">
        <w:rPr>
          <w:rFonts w:asciiTheme="majorHAnsi" w:hAnsiTheme="majorHAnsi" w:cstheme="majorHAnsi"/>
          <w:color w:val="000000"/>
          <w:sz w:val="24"/>
          <w:szCs w:val="24"/>
        </w:rPr>
        <w:t>SW1H</w:t>
      </w:r>
      <w:proofErr w:type="spellEnd"/>
      <w:r w:rsidRPr="00A64A18">
        <w:rPr>
          <w:rFonts w:asciiTheme="majorHAnsi" w:hAnsiTheme="majorHAnsi" w:cstheme="majorHAnsi"/>
          <w:color w:val="000000"/>
          <w:sz w:val="24"/>
          <w:szCs w:val="24"/>
        </w:rPr>
        <w:t xml:space="preserve"> </w:t>
      </w:r>
      <w:proofErr w:type="spellStart"/>
      <w:r w:rsidRPr="00A64A18">
        <w:rPr>
          <w:rFonts w:asciiTheme="majorHAnsi" w:hAnsiTheme="majorHAnsi" w:cstheme="majorHAnsi"/>
          <w:color w:val="000000"/>
          <w:sz w:val="24"/>
          <w:szCs w:val="24"/>
        </w:rPr>
        <w:t>9NA</w:t>
      </w:r>
      <w:proofErr w:type="spellEnd"/>
      <w:r w:rsidRPr="00A64A18">
        <w:rPr>
          <w:rFonts w:asciiTheme="majorHAnsi" w:hAnsiTheme="majorHAnsi" w:cstheme="majorHAnsi"/>
          <w:color w:val="000000"/>
          <w:sz w:val="24"/>
          <w:szCs w:val="24"/>
        </w:rPr>
        <w:t xml:space="preserve"> advised that:</w:t>
      </w:r>
    </w:p>
    <w:p w14:paraId="10A0DA42" w14:textId="77777777" w:rsidR="003B447C" w:rsidRPr="00A64A18" w:rsidRDefault="003B447C" w:rsidP="003B447C">
      <w:pPr>
        <w:spacing w:line="360" w:lineRule="auto"/>
        <w:ind w:left="567" w:hanging="567"/>
        <w:jc w:val="both"/>
        <w:rPr>
          <w:rFonts w:asciiTheme="majorHAnsi" w:hAnsiTheme="majorHAnsi" w:cstheme="majorHAnsi"/>
          <w:color w:val="000000"/>
          <w:sz w:val="24"/>
          <w:szCs w:val="24"/>
          <w14:ligatures w14:val="standardContextual"/>
        </w:rPr>
      </w:pPr>
    </w:p>
    <w:p w14:paraId="05E1D166" w14:textId="77777777" w:rsidR="003B447C" w:rsidRPr="00A64A18" w:rsidRDefault="003B447C" w:rsidP="003B447C">
      <w:pPr>
        <w:spacing w:line="360" w:lineRule="auto"/>
        <w:ind w:left="1134"/>
        <w:jc w:val="both"/>
        <w:rPr>
          <w:rFonts w:asciiTheme="majorHAnsi" w:hAnsiTheme="majorHAnsi" w:cstheme="majorHAnsi"/>
          <w:i/>
          <w:iCs/>
          <w:sz w:val="24"/>
          <w:szCs w:val="24"/>
          <w14:ligatures w14:val="standardContextual"/>
        </w:rPr>
      </w:pPr>
      <w:r w:rsidRPr="00A64A18">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A64A18">
        <w:rPr>
          <w:rFonts w:asciiTheme="majorHAnsi" w:hAnsiTheme="majorHAnsi" w:cstheme="majorHAnsi"/>
          <w:i/>
          <w:iCs/>
          <w:sz w:val="24"/>
          <w:szCs w:val="24"/>
          <w14:ligatures w14:val="standardContextual"/>
        </w:rPr>
        <w:t>example</w:t>
      </w:r>
      <w:proofErr w:type="gramEnd"/>
      <w:r w:rsidRPr="00A64A18">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432AEB1B" w14:textId="77777777" w:rsidR="003B447C" w:rsidRPr="00A64A18" w:rsidRDefault="003B447C" w:rsidP="003B447C">
      <w:pPr>
        <w:spacing w:line="360" w:lineRule="auto"/>
        <w:ind w:left="2574"/>
        <w:jc w:val="both"/>
        <w:rPr>
          <w:rFonts w:asciiTheme="majorHAnsi" w:hAnsiTheme="majorHAnsi" w:cstheme="majorHAnsi"/>
          <w:i/>
          <w:iCs/>
          <w:sz w:val="24"/>
          <w:szCs w:val="24"/>
          <w14:ligatures w14:val="standardContextual"/>
        </w:rPr>
      </w:pPr>
    </w:p>
    <w:p w14:paraId="608A355C" w14:textId="77777777" w:rsidR="003B447C" w:rsidRPr="00A64A18" w:rsidRDefault="003B447C" w:rsidP="003B447C">
      <w:pPr>
        <w:pStyle w:val="NormalWeb"/>
        <w:numPr>
          <w:ilvl w:val="0"/>
          <w:numId w:val="5"/>
        </w:numPr>
        <w:spacing w:before="0" w:beforeAutospacing="0" w:after="0" w:afterAutospacing="0" w:line="360" w:lineRule="auto"/>
        <w:jc w:val="both"/>
        <w:rPr>
          <w:rFonts w:asciiTheme="majorHAnsi" w:hAnsiTheme="majorHAnsi" w:cstheme="majorHAnsi"/>
        </w:rPr>
      </w:pPr>
      <w:r w:rsidRPr="00A64A18">
        <w:rPr>
          <w:rStyle w:val="Strong"/>
          <w:rFonts w:asciiTheme="majorHAnsi" w:hAnsiTheme="majorHAnsi" w:cstheme="majorHAnsi"/>
          <w:color w:val="000000" w:themeColor="text1"/>
        </w:rPr>
        <w:lastRenderedPageBreak/>
        <w:t xml:space="preserve">This letter is also sent by email to the Treasury Solicitor as </w:t>
      </w:r>
      <w:r w:rsidRPr="00A64A18">
        <w:rPr>
          <w:rFonts w:asciiTheme="majorHAnsi" w:hAnsiTheme="majorHAnsi" w:cstheme="majorHAnsi"/>
        </w:rPr>
        <w:t>Cabinet Office practice direction ‘Crown Proceedings Act 1947’ (December 2023)</w:t>
      </w:r>
      <w:r w:rsidRPr="00A64A18">
        <w:rPr>
          <w:rStyle w:val="FootnoteReference"/>
          <w:rFonts w:asciiTheme="majorHAnsi" w:hAnsiTheme="majorHAnsi" w:cstheme="majorHAnsi"/>
        </w:rPr>
        <w:footnoteReference w:id="1"/>
      </w:r>
      <w:r w:rsidRPr="00A64A18">
        <w:rPr>
          <w:rFonts w:asciiTheme="majorHAnsi" w:hAnsiTheme="majorHAnsi" w:cstheme="majorHAnsi"/>
        </w:rPr>
        <w:t xml:space="preserve"> requires:</w:t>
      </w:r>
    </w:p>
    <w:p w14:paraId="312E005C" w14:textId="77777777" w:rsidR="003B447C" w:rsidRPr="00A64A18" w:rsidRDefault="003B447C" w:rsidP="003B447C">
      <w:pPr>
        <w:pStyle w:val="ListParagraph"/>
        <w:spacing w:line="360" w:lineRule="auto"/>
        <w:ind w:left="567"/>
        <w:jc w:val="both"/>
        <w:rPr>
          <w:rFonts w:asciiTheme="majorHAnsi" w:hAnsiTheme="majorHAnsi" w:cstheme="majorHAnsi"/>
          <w:sz w:val="24"/>
          <w:szCs w:val="24"/>
        </w:rPr>
      </w:pPr>
    </w:p>
    <w:p w14:paraId="4CD09F84" w14:textId="77777777" w:rsidR="003B447C" w:rsidRPr="00A64A18" w:rsidRDefault="003B447C" w:rsidP="003B447C">
      <w:pPr>
        <w:pStyle w:val="ListParagraph"/>
        <w:spacing w:line="360" w:lineRule="auto"/>
        <w:ind w:left="1134"/>
        <w:jc w:val="both"/>
        <w:rPr>
          <w:rFonts w:asciiTheme="majorHAnsi" w:hAnsiTheme="majorHAnsi" w:cstheme="majorHAnsi"/>
          <w:i/>
          <w:iCs/>
          <w:sz w:val="24"/>
          <w:szCs w:val="24"/>
        </w:rPr>
      </w:pPr>
      <w:r w:rsidRPr="00A64A18">
        <w:rPr>
          <w:rFonts w:asciiTheme="majorHAnsi" w:hAnsiTheme="majorHAnsi" w:cstheme="majorHAnsi"/>
          <w:i/>
          <w:iCs/>
          <w:sz w:val="24"/>
          <w:szCs w:val="24"/>
        </w:rPr>
        <w:t>“</w:t>
      </w:r>
      <w:r w:rsidRPr="00A64A18">
        <w:rPr>
          <w:rFonts w:asciiTheme="majorHAnsi" w:hAnsiTheme="majorHAnsi" w:cstheme="majorHAnsi"/>
          <w:b/>
          <w:bCs/>
          <w:i/>
          <w:iCs/>
          <w:sz w:val="24"/>
          <w:szCs w:val="24"/>
        </w:rPr>
        <w:t>All documents</w:t>
      </w:r>
      <w:r w:rsidRPr="00A64A18">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A64A18">
        <w:rPr>
          <w:rFonts w:asciiTheme="majorHAnsi" w:hAnsiTheme="majorHAnsi" w:cstheme="majorHAnsi"/>
          <w:b/>
          <w:bCs/>
          <w:i/>
          <w:iCs/>
          <w:sz w:val="24"/>
          <w:szCs w:val="24"/>
        </w:rPr>
        <w:t xml:space="preserve"> </w:t>
      </w:r>
      <w:r w:rsidRPr="00A64A18">
        <w:rPr>
          <w:rFonts w:asciiTheme="majorHAnsi" w:hAnsiTheme="majorHAnsi" w:cstheme="majorHAnsi"/>
          <w:i/>
          <w:iCs/>
          <w:sz w:val="24"/>
          <w:szCs w:val="24"/>
        </w:rPr>
        <w:t xml:space="preserve">against an authorised Government department, </w:t>
      </w:r>
      <w:r w:rsidRPr="00A64A18">
        <w:rPr>
          <w:rFonts w:asciiTheme="majorHAnsi" w:hAnsiTheme="majorHAnsi" w:cstheme="majorHAnsi"/>
          <w:b/>
          <w:bCs/>
          <w:i/>
          <w:iCs/>
          <w:sz w:val="24"/>
          <w:szCs w:val="24"/>
        </w:rPr>
        <w:t>be served on the solicitor</w:t>
      </w:r>
      <w:r w:rsidRPr="00A64A18">
        <w:rPr>
          <w:rFonts w:asciiTheme="majorHAnsi" w:hAnsiTheme="majorHAnsi" w:cstheme="majorHAnsi"/>
          <w:i/>
          <w:iCs/>
          <w:sz w:val="24"/>
          <w:szCs w:val="24"/>
        </w:rPr>
        <w:t xml:space="preserve">, if any, for that department” </w:t>
      </w:r>
    </w:p>
    <w:p w14:paraId="7A84597A" w14:textId="77777777" w:rsidR="003B447C" w:rsidRPr="00A64A18" w:rsidRDefault="003B447C" w:rsidP="003B447C">
      <w:pPr>
        <w:pStyle w:val="ListParagraph"/>
        <w:spacing w:line="360" w:lineRule="auto"/>
        <w:ind w:left="567"/>
        <w:jc w:val="right"/>
        <w:rPr>
          <w:rFonts w:asciiTheme="majorHAnsi" w:hAnsiTheme="majorHAnsi" w:cstheme="majorHAnsi"/>
          <w:sz w:val="24"/>
          <w:szCs w:val="24"/>
        </w:rPr>
      </w:pPr>
      <w:r w:rsidRPr="00A64A18">
        <w:rPr>
          <w:rFonts w:asciiTheme="majorHAnsi" w:hAnsiTheme="majorHAnsi" w:cstheme="majorHAnsi"/>
          <w:sz w:val="24"/>
          <w:szCs w:val="24"/>
        </w:rPr>
        <w:t>(Emphasis added)</w:t>
      </w:r>
    </w:p>
    <w:p w14:paraId="426984F2" w14:textId="77777777" w:rsidR="003B447C" w:rsidRPr="00A64A18" w:rsidRDefault="003B447C" w:rsidP="003B447C">
      <w:pPr>
        <w:pStyle w:val="ListParagraph"/>
        <w:spacing w:line="360" w:lineRule="auto"/>
        <w:ind w:left="567"/>
        <w:jc w:val="right"/>
        <w:rPr>
          <w:rFonts w:asciiTheme="majorHAnsi" w:hAnsiTheme="majorHAnsi" w:cstheme="majorHAnsi"/>
          <w:sz w:val="24"/>
          <w:szCs w:val="24"/>
        </w:rPr>
      </w:pPr>
    </w:p>
    <w:p w14:paraId="651E19D8" w14:textId="77777777" w:rsidR="003B447C" w:rsidRPr="00A64A18" w:rsidRDefault="003B447C" w:rsidP="003B447C">
      <w:pPr>
        <w:pStyle w:val="ListParagraph"/>
        <w:numPr>
          <w:ilvl w:val="0"/>
          <w:numId w:val="5"/>
        </w:numPr>
        <w:spacing w:after="0" w:line="360" w:lineRule="auto"/>
        <w:jc w:val="both"/>
        <w:rPr>
          <w:rFonts w:asciiTheme="majorHAnsi" w:hAnsiTheme="majorHAnsi" w:cstheme="majorHAnsi"/>
          <w:sz w:val="24"/>
          <w:szCs w:val="24"/>
        </w:rPr>
      </w:pPr>
      <w:r w:rsidRPr="00A64A18">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4ED25CD1" w14:textId="77777777" w:rsidR="003B447C" w:rsidRPr="00A64A18" w:rsidRDefault="003B447C" w:rsidP="003B447C">
      <w:pPr>
        <w:pStyle w:val="NormalWeb"/>
        <w:numPr>
          <w:ilvl w:val="0"/>
          <w:numId w:val="5"/>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A64A18">
        <w:rPr>
          <w:rStyle w:val="Strong"/>
          <w:rFonts w:asciiTheme="majorHAnsi" w:hAnsiTheme="majorHAnsi" w:cstheme="majorHAnsi"/>
          <w:color w:val="000000" w:themeColor="text1"/>
        </w:rPr>
        <w:t>The Government Legal Department webpage</w:t>
      </w:r>
      <w:r w:rsidRPr="00A64A18">
        <w:rPr>
          <w:rStyle w:val="FootnoteReference"/>
          <w:rFonts w:asciiTheme="majorHAnsi" w:hAnsiTheme="majorHAnsi" w:cstheme="majorHAnsi"/>
          <w:color w:val="000000" w:themeColor="text1"/>
        </w:rPr>
        <w:footnoteReference w:id="2"/>
      </w:r>
      <w:r w:rsidRPr="00A64A18">
        <w:rPr>
          <w:rStyle w:val="Strong"/>
          <w:rFonts w:asciiTheme="majorHAnsi" w:hAnsiTheme="majorHAnsi" w:cstheme="majorHAnsi"/>
          <w:color w:val="000000" w:themeColor="text1"/>
        </w:rPr>
        <w:t xml:space="preserve"> further instructs:</w:t>
      </w:r>
    </w:p>
    <w:p w14:paraId="773FA699" w14:textId="77777777" w:rsidR="003B447C" w:rsidRPr="00A64A18" w:rsidRDefault="003B447C" w:rsidP="003B447C">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5FE73244" w14:textId="77777777" w:rsidR="003B447C" w:rsidRPr="00A64A18" w:rsidRDefault="003B447C" w:rsidP="003B447C">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A64A18">
        <w:rPr>
          <w:rStyle w:val="Strong"/>
          <w:rFonts w:asciiTheme="majorHAnsi" w:hAnsiTheme="majorHAnsi" w:cstheme="majorHAnsi"/>
          <w:i/>
          <w:iCs/>
          <w:color w:val="000000" w:themeColor="text1"/>
        </w:rPr>
        <w:t>[…]</w:t>
      </w:r>
    </w:p>
    <w:p w14:paraId="4380501E" w14:textId="77777777" w:rsidR="003B447C" w:rsidRPr="00A64A18" w:rsidRDefault="003B447C" w:rsidP="003B447C">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A64A18">
        <w:rPr>
          <w:rFonts w:asciiTheme="majorHAnsi" w:hAnsiTheme="majorHAnsi" w:cstheme="majorHAnsi"/>
          <w:i/>
          <w:iCs/>
          <w:color w:val="000000"/>
          <w:shd w:val="clear" w:color="auto" w:fill="FFFFFF"/>
        </w:rPr>
        <w:t>The email addresses above are for the service of new proceedings only.</w:t>
      </w:r>
      <w:r w:rsidRPr="00A64A18">
        <w:rPr>
          <w:rFonts w:asciiTheme="majorHAnsi" w:hAnsiTheme="majorHAnsi" w:cstheme="majorHAnsi"/>
          <w:i/>
          <w:iCs/>
          <w:color w:val="000000"/>
        </w:rPr>
        <w:br/>
      </w:r>
      <w:r w:rsidRPr="00A64A18">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A64A18">
        <w:rPr>
          <w:rFonts w:asciiTheme="majorHAnsi" w:hAnsiTheme="majorHAnsi" w:cstheme="majorHAnsi"/>
          <w:i/>
          <w:iCs/>
          <w:color w:val="000000"/>
          <w:shd w:val="clear" w:color="auto" w:fill="FFFFFF"/>
        </w:rPr>
        <w:t>GLD</w:t>
      </w:r>
      <w:proofErr w:type="spellEnd"/>
      <w:r w:rsidRPr="00A64A18">
        <w:rPr>
          <w:rFonts w:asciiTheme="majorHAnsi" w:hAnsiTheme="majorHAnsi" w:cstheme="majorHAnsi"/>
          <w:i/>
          <w:iCs/>
          <w:color w:val="000000"/>
          <w:shd w:val="clear" w:color="auto" w:fill="FFFFFF"/>
        </w:rPr>
        <w:t xml:space="preserve"> please email these to </w:t>
      </w:r>
      <w:hyperlink r:id="rId20" w:history="1">
        <w:r w:rsidRPr="00A64A18">
          <w:rPr>
            <w:rStyle w:val="Hyperlink"/>
            <w:rFonts w:asciiTheme="majorHAnsi" w:hAnsiTheme="majorHAnsi" w:cstheme="majorHAnsi"/>
            <w:i/>
            <w:iCs/>
            <w:color w:val="A03A88"/>
            <w:shd w:val="clear" w:color="auto" w:fill="FFFFFF"/>
          </w:rPr>
          <w:t>thetreasurysolicitor@governmentlegal.gov.uk</w:t>
        </w:r>
      </w:hyperlink>
      <w:r w:rsidRPr="00A64A18">
        <w:rPr>
          <w:rFonts w:asciiTheme="majorHAnsi" w:hAnsiTheme="majorHAnsi" w:cstheme="majorHAnsi"/>
          <w:i/>
          <w:iCs/>
          <w:color w:val="000000"/>
          <w:shd w:val="clear" w:color="auto" w:fill="FFFFFF"/>
        </w:rPr>
        <w:t>.</w:t>
      </w:r>
    </w:p>
    <w:p w14:paraId="6536A015"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7BA82DDA"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7DF3F76E"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b/>
          <w:color w:val="000000" w:themeColor="text1"/>
          <w:sz w:val="24"/>
          <w:szCs w:val="24"/>
          <w:highlight w:val="white"/>
        </w:rPr>
      </w:pPr>
      <w:r w:rsidRPr="00A64A18">
        <w:rPr>
          <w:rFonts w:asciiTheme="majorHAnsi" w:eastAsia="Times New Roman" w:hAnsiTheme="majorHAnsi" w:cstheme="majorHAnsi"/>
          <w:b/>
          <w:sz w:val="24"/>
          <w:szCs w:val="24"/>
          <w:highlight w:val="white"/>
        </w:rPr>
        <w:t xml:space="preserve">The </w:t>
      </w:r>
      <w:r w:rsidRPr="00A64A18">
        <w:rPr>
          <w:rFonts w:asciiTheme="majorHAnsi" w:eastAsia="Times New Roman" w:hAnsiTheme="majorHAnsi" w:cstheme="majorHAnsi"/>
          <w:b/>
          <w:color w:val="000000" w:themeColor="text1"/>
          <w:sz w:val="24"/>
          <w:szCs w:val="24"/>
          <w:highlight w:val="white"/>
        </w:rPr>
        <w:t>details of the matter being challenged</w:t>
      </w:r>
    </w:p>
    <w:p w14:paraId="13684541" w14:textId="77777777" w:rsidR="00015F88" w:rsidRPr="00A64A18" w:rsidRDefault="00015F88" w:rsidP="003B447C">
      <w:pPr>
        <w:pStyle w:val="ListParagraph"/>
        <w:numPr>
          <w:ilvl w:val="0"/>
          <w:numId w:val="5"/>
        </w:numPr>
        <w:shd w:val="clear" w:color="auto" w:fill="FFFFFF"/>
        <w:tabs>
          <w:tab w:val="left" w:pos="3330"/>
        </w:tabs>
        <w:spacing w:after="0" w:line="360" w:lineRule="auto"/>
        <w:jc w:val="both"/>
        <w:rPr>
          <w:rFonts w:asciiTheme="majorHAnsi" w:eastAsia="Times New Roman" w:hAnsiTheme="majorHAnsi" w:cstheme="majorHAnsi"/>
          <w:color w:val="000000" w:themeColor="text1"/>
          <w:sz w:val="24"/>
          <w:szCs w:val="24"/>
          <w:highlight w:val="white"/>
        </w:rPr>
      </w:pPr>
      <w:r w:rsidRPr="00A64A18">
        <w:rPr>
          <w:rFonts w:asciiTheme="majorHAnsi" w:eastAsia="Times New Roman" w:hAnsiTheme="majorHAnsi" w:cstheme="majorHAnsi"/>
          <w:color w:val="000000" w:themeColor="text1"/>
          <w:sz w:val="24"/>
          <w:szCs w:val="24"/>
          <w:highlight w:val="white"/>
        </w:rPr>
        <w:t>C is challenging the unlawful refusal of D to exercise her discretion to reduce the level of the deductions from C’s UC claim when required to do so by law.</w:t>
      </w:r>
    </w:p>
    <w:p w14:paraId="22357FB2"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i/>
          <w:sz w:val="24"/>
          <w:szCs w:val="24"/>
          <w:highlight w:val="white"/>
        </w:rPr>
      </w:pPr>
    </w:p>
    <w:p w14:paraId="7970822A" w14:textId="77777777" w:rsidR="00015F88" w:rsidRPr="00A64A18" w:rsidRDefault="00015F88" w:rsidP="00015F88">
      <w:pPr>
        <w:shd w:val="clear" w:color="auto" w:fill="FFFFFF"/>
        <w:tabs>
          <w:tab w:val="left" w:pos="3330"/>
        </w:tabs>
        <w:spacing w:after="0" w:line="360" w:lineRule="auto"/>
        <w:jc w:val="both"/>
        <w:rPr>
          <w:rFonts w:asciiTheme="majorHAnsi" w:eastAsia="Times New Roman" w:hAnsiTheme="majorHAnsi" w:cstheme="majorHAnsi"/>
          <w:b/>
          <w:i/>
          <w:sz w:val="24"/>
          <w:szCs w:val="24"/>
          <w:highlight w:val="white"/>
        </w:rPr>
      </w:pPr>
      <w:r w:rsidRPr="00A64A18">
        <w:rPr>
          <w:rFonts w:asciiTheme="majorHAnsi" w:eastAsia="Times New Roman" w:hAnsiTheme="majorHAnsi" w:cstheme="majorHAnsi"/>
          <w:b/>
          <w:i/>
          <w:sz w:val="24"/>
          <w:szCs w:val="24"/>
          <w:highlight w:val="white"/>
        </w:rPr>
        <w:t>Background facts</w:t>
      </w:r>
    </w:p>
    <w:p w14:paraId="6C3E6F6E"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color w:val="FF0000"/>
          <w:sz w:val="24"/>
          <w:szCs w:val="24"/>
          <w:highlight w:val="white"/>
        </w:rPr>
      </w:pPr>
      <w:r w:rsidRPr="00A64A18">
        <w:rPr>
          <w:rFonts w:asciiTheme="majorHAnsi" w:eastAsia="Times New Roman" w:hAnsiTheme="majorHAnsi" w:cstheme="majorHAnsi"/>
          <w:sz w:val="24"/>
          <w:szCs w:val="24"/>
          <w:highlight w:val="white"/>
        </w:rPr>
        <w:t>C is [CIRCUMSTANCES]</w:t>
      </w:r>
    </w:p>
    <w:p w14:paraId="3245B7A3"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 C claimed UC on [DATE]. On [DATE] C requested and was paid a New Claim Advance</w:t>
      </w:r>
      <w:r w:rsidR="00E61C83" w:rsidRPr="00A64A18">
        <w:rPr>
          <w:rFonts w:asciiTheme="majorHAnsi" w:eastAsia="Times New Roman" w:hAnsiTheme="majorHAnsi" w:cstheme="majorHAnsi"/>
          <w:sz w:val="24"/>
          <w:szCs w:val="24"/>
          <w:highlight w:val="white"/>
        </w:rPr>
        <w:t xml:space="preserve">, </w:t>
      </w:r>
      <w:proofErr w:type="spellStart"/>
      <w:r w:rsidR="00E61C83" w:rsidRPr="00A64A18">
        <w:rPr>
          <w:rFonts w:asciiTheme="majorHAnsi" w:eastAsia="Times New Roman" w:hAnsiTheme="majorHAnsi" w:cstheme="majorHAnsi"/>
          <w:sz w:val="24"/>
          <w:szCs w:val="24"/>
          <w:highlight w:val="white"/>
        </w:rPr>
        <w:t>ie</w:t>
      </w:r>
      <w:proofErr w:type="spellEnd"/>
      <w:r w:rsidR="00E61C83" w:rsidRPr="00A64A18">
        <w:rPr>
          <w:rFonts w:asciiTheme="majorHAnsi" w:eastAsia="Times New Roman" w:hAnsiTheme="majorHAnsi" w:cstheme="majorHAnsi"/>
          <w:sz w:val="24"/>
          <w:szCs w:val="24"/>
          <w:highlight w:val="white"/>
        </w:rPr>
        <w:t>, an amount in her first UC assessment period before her first regular payment of C was due</w:t>
      </w:r>
      <w:r w:rsidRPr="00A64A18">
        <w:rPr>
          <w:rFonts w:asciiTheme="majorHAnsi" w:eastAsia="Times New Roman" w:hAnsiTheme="majorHAnsi" w:cstheme="majorHAnsi"/>
          <w:sz w:val="24"/>
          <w:szCs w:val="24"/>
          <w:highlight w:val="white"/>
        </w:rPr>
        <w:t>.</w:t>
      </w:r>
    </w:p>
    <w:p w14:paraId="37A2B89D"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lastRenderedPageBreak/>
        <w:t xml:space="preserve"> </w:t>
      </w:r>
      <w:r w:rsidR="00E61C83" w:rsidRPr="00A64A18">
        <w:rPr>
          <w:rFonts w:asciiTheme="majorHAnsi" w:eastAsia="Times New Roman" w:hAnsiTheme="majorHAnsi" w:cstheme="majorHAnsi"/>
          <w:sz w:val="24"/>
          <w:szCs w:val="24"/>
          <w:highlight w:val="white"/>
        </w:rPr>
        <w:t>This was</w:t>
      </w:r>
      <w:r w:rsidRPr="00A64A18">
        <w:rPr>
          <w:rFonts w:asciiTheme="majorHAnsi" w:eastAsia="Times New Roman" w:hAnsiTheme="majorHAnsi" w:cstheme="majorHAnsi"/>
          <w:sz w:val="24"/>
          <w:szCs w:val="24"/>
          <w:highlight w:val="white"/>
        </w:rPr>
        <w:t xml:space="preserve"> until recently being repaid by way of a deduction </w:t>
      </w:r>
      <w:r w:rsidRPr="00A64A18">
        <w:rPr>
          <w:rFonts w:asciiTheme="majorHAnsi" w:eastAsia="Times New Roman" w:hAnsiTheme="majorHAnsi" w:cstheme="majorHAnsi"/>
          <w:color w:val="000000" w:themeColor="text1"/>
          <w:sz w:val="24"/>
          <w:szCs w:val="24"/>
          <w:highlight w:val="white"/>
        </w:rPr>
        <w:t xml:space="preserve">from her UC </w:t>
      </w:r>
      <w:r w:rsidRPr="00A64A18">
        <w:rPr>
          <w:rFonts w:asciiTheme="majorHAnsi" w:eastAsia="Times New Roman" w:hAnsiTheme="majorHAnsi" w:cstheme="majorHAnsi"/>
          <w:sz w:val="24"/>
          <w:szCs w:val="24"/>
          <w:highlight w:val="white"/>
        </w:rPr>
        <w:t>of [AMOUNT] each month, equivalent to 23.8% of her standard allowance. Together with a deduction of [AMOUNT] for a</w:t>
      </w:r>
      <w:r w:rsidR="00E61C83" w:rsidRPr="00A64A18">
        <w:rPr>
          <w:rFonts w:asciiTheme="majorHAnsi" w:eastAsia="Times New Roman" w:hAnsiTheme="majorHAnsi" w:cstheme="majorHAnsi"/>
          <w:sz w:val="24"/>
          <w:szCs w:val="24"/>
          <w:highlight w:val="white"/>
        </w:rPr>
        <w:t xml:space="preserve"> tax credit o</w:t>
      </w:r>
      <w:r w:rsidRPr="00A64A18">
        <w:rPr>
          <w:rFonts w:asciiTheme="majorHAnsi" w:eastAsia="Times New Roman" w:hAnsiTheme="majorHAnsi" w:cstheme="majorHAnsi"/>
          <w:sz w:val="24"/>
          <w:szCs w:val="24"/>
          <w:highlight w:val="white"/>
        </w:rPr>
        <w:t xml:space="preserve">verpayment, the total deduction was 25% of C’s standard allowance. </w:t>
      </w:r>
    </w:p>
    <w:p w14:paraId="7891350D"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[HOW HAVE C’S CIRCUMSTANCES CHANGES SINCE SHE AGREED TO THE ADVANCE?]</w:t>
      </w:r>
    </w:p>
    <w:p w14:paraId="75AD21A4"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On [DATE] C, via her advisers, requested that this be reduced. This request was refused however D paused deductions for a period of three months. The pause will be lifted on [DATE].</w:t>
      </w:r>
    </w:p>
    <w:p w14:paraId="0DF07C67"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When the deduction is reinstated, C will be left with only [AMOUNT] to live on each month (equivalent to [AMOUNT] per week), from which she </w:t>
      </w:r>
      <w:proofErr w:type="gramStart"/>
      <w:r w:rsidRPr="00A64A18">
        <w:rPr>
          <w:rFonts w:asciiTheme="majorHAnsi" w:eastAsia="Times New Roman" w:hAnsiTheme="majorHAnsi" w:cstheme="majorHAnsi"/>
          <w:sz w:val="24"/>
          <w:szCs w:val="24"/>
          <w:highlight w:val="white"/>
        </w:rPr>
        <w:t>has to</w:t>
      </w:r>
      <w:proofErr w:type="gramEnd"/>
      <w:r w:rsidRPr="00A64A18">
        <w:rPr>
          <w:rFonts w:asciiTheme="majorHAnsi" w:eastAsia="Times New Roman" w:hAnsiTheme="majorHAnsi" w:cstheme="majorHAnsi"/>
          <w:sz w:val="24"/>
          <w:szCs w:val="24"/>
          <w:highlight w:val="white"/>
        </w:rPr>
        <w:t xml:space="preserve"> pay for all of her essential expenditure. </w:t>
      </w:r>
    </w:p>
    <w:p w14:paraId="5DE13D94"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C has considerably less than subsistence level income on which to live.</w:t>
      </w:r>
    </w:p>
    <w:p w14:paraId="25043F84"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C is faced with the impossible decision of whether to pay for her rent, Council Tax, fuel, or food.  </w:t>
      </w:r>
    </w:p>
    <w:p w14:paraId="2F05823F"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C is experiencing severe financial hardship </w:t>
      </w:r>
      <w:r w:rsidR="00FB25E8" w:rsidRPr="00A64A18">
        <w:rPr>
          <w:rFonts w:asciiTheme="majorHAnsi" w:eastAsia="Times New Roman" w:hAnsiTheme="majorHAnsi" w:cstheme="majorHAnsi"/>
          <w:sz w:val="24"/>
          <w:szCs w:val="24"/>
          <w:highlight w:val="white"/>
        </w:rPr>
        <w:t>[AND THIS HAS BEEN NOTIFIED TO D IN A COMPREHENSIVE NOTIFICATION IN HER ONLINE JOURNAL ON [DATE] WHEN THE FACTS OUTLINED ABOVE WERE DETAILED IN FULL]</w:t>
      </w:r>
      <w:r w:rsidRPr="00A64A18">
        <w:rPr>
          <w:rFonts w:asciiTheme="majorHAnsi" w:eastAsia="Times New Roman" w:hAnsiTheme="majorHAnsi" w:cstheme="majorHAnsi"/>
          <w:sz w:val="24"/>
          <w:szCs w:val="24"/>
          <w:highlight w:val="white"/>
        </w:rPr>
        <w:t>.</w:t>
      </w:r>
    </w:p>
    <w:p w14:paraId="016275D2" w14:textId="77777777" w:rsidR="00015F88" w:rsidRPr="00A64A18" w:rsidRDefault="00015F88" w:rsidP="003B447C">
      <w:pPr>
        <w:pStyle w:val="ListParagraph"/>
        <w:numPr>
          <w:ilvl w:val="0"/>
          <w:numId w:val="5"/>
        </w:numPr>
        <w:pBdr>
          <w:bottom w:val="none" w:sz="0" w:space="8" w:color="auto"/>
        </w:pBdr>
        <w:shd w:val="clear" w:color="auto" w:fill="FFFFFF"/>
        <w:tabs>
          <w:tab w:val="left" w:pos="3330"/>
        </w:tabs>
        <w:spacing w:after="0" w:line="360" w:lineRule="auto"/>
        <w:ind w:right="567"/>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D responded on [DATE] by refusing to reduce the level of deductions stating that ‘C agreed to this level of deduction when she took out the advance </w:t>
      </w:r>
      <w:proofErr w:type="gramStart"/>
      <w:r w:rsidRPr="00A64A18">
        <w:rPr>
          <w:rFonts w:asciiTheme="majorHAnsi" w:eastAsia="Times New Roman" w:hAnsiTheme="majorHAnsi" w:cstheme="majorHAnsi"/>
          <w:sz w:val="24"/>
          <w:szCs w:val="24"/>
          <w:highlight w:val="white"/>
        </w:rPr>
        <w:t>payments’</w:t>
      </w:r>
      <w:proofErr w:type="gramEnd"/>
      <w:r w:rsidRPr="00A64A18">
        <w:rPr>
          <w:rFonts w:asciiTheme="majorHAnsi" w:eastAsia="Times New Roman" w:hAnsiTheme="majorHAnsi" w:cstheme="majorHAnsi"/>
          <w:sz w:val="24"/>
          <w:szCs w:val="24"/>
          <w:highlight w:val="white"/>
        </w:rPr>
        <w:t xml:space="preserve">. Instead, D suspended the deduction from C’s UC for 3 months. </w:t>
      </w:r>
    </w:p>
    <w:p w14:paraId="2F5C6511" w14:textId="77777777" w:rsidR="00A64A18" w:rsidRPr="00A64A18" w:rsidRDefault="00A64A18" w:rsidP="00A64A18">
      <w:pPr>
        <w:spacing w:before="120" w:after="120" w:line="360" w:lineRule="auto"/>
        <w:rPr>
          <w:rFonts w:asciiTheme="majorHAnsi" w:hAnsiTheme="majorHAnsi" w:cstheme="majorHAnsi"/>
          <w:b/>
          <w:bCs/>
          <w:sz w:val="24"/>
          <w:szCs w:val="24"/>
          <w:lang w:val="en-US"/>
        </w:rPr>
      </w:pPr>
      <w:r w:rsidRPr="00A64A18">
        <w:rPr>
          <w:rFonts w:asciiTheme="majorHAnsi" w:hAnsiTheme="majorHAnsi" w:cstheme="majorHAnsi"/>
          <w:b/>
          <w:bCs/>
          <w:sz w:val="24"/>
          <w:szCs w:val="24"/>
          <w:lang w:val="en-US"/>
        </w:rPr>
        <w:t xml:space="preserve">Note on D’s duty of </w:t>
      </w:r>
      <w:proofErr w:type="gramStart"/>
      <w:r w:rsidRPr="00A64A18">
        <w:rPr>
          <w:rFonts w:asciiTheme="majorHAnsi" w:hAnsiTheme="majorHAnsi" w:cstheme="majorHAnsi"/>
          <w:b/>
          <w:bCs/>
          <w:sz w:val="24"/>
          <w:szCs w:val="24"/>
          <w:lang w:val="en-US"/>
        </w:rPr>
        <w:t>candour</w:t>
      </w:r>
      <w:proofErr w:type="gramEnd"/>
    </w:p>
    <w:p w14:paraId="069E0FAD" w14:textId="77777777" w:rsidR="00A64A18" w:rsidRPr="00A64A18" w:rsidRDefault="00A64A18" w:rsidP="00A64A18">
      <w:pPr>
        <w:pStyle w:val="ListParagraph"/>
        <w:numPr>
          <w:ilvl w:val="0"/>
          <w:numId w:val="5"/>
        </w:numPr>
        <w:spacing w:before="120" w:after="120" w:line="360" w:lineRule="auto"/>
        <w:contextualSpacing w:val="0"/>
        <w:jc w:val="both"/>
        <w:rPr>
          <w:rFonts w:asciiTheme="majorHAnsi" w:hAnsiTheme="majorHAnsi" w:cstheme="majorHAnsi"/>
          <w:sz w:val="24"/>
          <w:szCs w:val="24"/>
          <w:lang w:val="en-US"/>
        </w:rPr>
      </w:pPr>
      <w:r w:rsidRPr="00A64A18">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64A18">
        <w:rPr>
          <w:rFonts w:asciiTheme="majorHAnsi" w:hAnsiTheme="majorHAnsi" w:cstheme="majorHAnsi"/>
          <w:i/>
          <w:iCs/>
          <w:sz w:val="24"/>
          <w:szCs w:val="24"/>
          <w:lang w:val="en-US"/>
        </w:rPr>
        <w:t xml:space="preserve">R (HM, </w:t>
      </w:r>
      <w:proofErr w:type="gramStart"/>
      <w:r w:rsidRPr="00A64A18">
        <w:rPr>
          <w:rFonts w:asciiTheme="majorHAnsi" w:hAnsiTheme="majorHAnsi" w:cstheme="majorHAnsi"/>
          <w:i/>
          <w:iCs/>
          <w:sz w:val="24"/>
          <w:szCs w:val="24"/>
          <w:lang w:val="en-US"/>
        </w:rPr>
        <w:t>KH</w:t>
      </w:r>
      <w:proofErr w:type="gramEnd"/>
      <w:r w:rsidRPr="00A64A18">
        <w:rPr>
          <w:rFonts w:asciiTheme="majorHAnsi" w:hAnsiTheme="majorHAnsi" w:cstheme="majorHAnsi"/>
          <w:i/>
          <w:iCs/>
          <w:sz w:val="24"/>
          <w:szCs w:val="24"/>
          <w:lang w:val="en-US"/>
        </w:rPr>
        <w:t xml:space="preserve"> and MA) v Secretary of State for the Home Department </w:t>
      </w:r>
      <w:r w:rsidRPr="00A64A18">
        <w:rPr>
          <w:rFonts w:asciiTheme="majorHAnsi" w:hAnsiTheme="majorHAnsi" w:cstheme="majorHAnsi"/>
          <w:sz w:val="24"/>
          <w:szCs w:val="24"/>
          <w:lang w:val="en-US"/>
        </w:rPr>
        <w:t xml:space="preserve">3 [2022] </w:t>
      </w:r>
      <w:proofErr w:type="spellStart"/>
      <w:r w:rsidRPr="00A64A18">
        <w:rPr>
          <w:rFonts w:asciiTheme="majorHAnsi" w:hAnsiTheme="majorHAnsi" w:cstheme="majorHAnsi"/>
          <w:sz w:val="24"/>
          <w:szCs w:val="24"/>
          <w:lang w:val="en-US"/>
        </w:rPr>
        <w:t>EWHC</w:t>
      </w:r>
      <w:proofErr w:type="spellEnd"/>
      <w:r w:rsidRPr="00A64A18">
        <w:rPr>
          <w:rFonts w:asciiTheme="majorHAnsi" w:hAnsiTheme="majorHAnsi" w:cstheme="majorHAnsi"/>
          <w:sz w:val="24"/>
          <w:szCs w:val="24"/>
          <w:lang w:val="en-US"/>
        </w:rPr>
        <w:t xml:space="preserve"> 2729 (Admin). </w:t>
      </w:r>
    </w:p>
    <w:p w14:paraId="78CC12CC" w14:textId="77777777" w:rsidR="00A64A18" w:rsidRPr="00A64A18" w:rsidRDefault="00A64A18" w:rsidP="00A64A18">
      <w:pPr>
        <w:pStyle w:val="ListParagraph"/>
        <w:numPr>
          <w:ilvl w:val="0"/>
          <w:numId w:val="5"/>
        </w:numPr>
        <w:spacing w:before="120" w:after="120" w:line="360" w:lineRule="auto"/>
        <w:contextualSpacing w:val="0"/>
        <w:jc w:val="both"/>
        <w:rPr>
          <w:rFonts w:asciiTheme="majorHAnsi" w:hAnsiTheme="majorHAnsi" w:cstheme="majorHAnsi"/>
          <w:sz w:val="24"/>
          <w:szCs w:val="24"/>
          <w:lang w:val="en-US"/>
        </w:rPr>
      </w:pPr>
      <w:r w:rsidRPr="00A64A18">
        <w:rPr>
          <w:rFonts w:asciiTheme="majorHAnsi" w:hAnsiTheme="majorHAnsi" w:cstheme="majorHAnsi"/>
          <w:sz w:val="24"/>
          <w:szCs w:val="24"/>
          <w:lang w:val="en-US"/>
        </w:rPr>
        <w:t xml:space="preserve">If any guidance, </w:t>
      </w:r>
      <w:proofErr w:type="gramStart"/>
      <w:r w:rsidRPr="00A64A18">
        <w:rPr>
          <w:rFonts w:asciiTheme="majorHAnsi" w:hAnsiTheme="majorHAnsi" w:cstheme="majorHAnsi"/>
          <w:sz w:val="24"/>
          <w:szCs w:val="24"/>
          <w:lang w:val="en-US"/>
        </w:rPr>
        <w:t>policy</w:t>
      </w:r>
      <w:proofErr w:type="gramEnd"/>
      <w:r w:rsidRPr="00A64A18">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A64A18">
        <w:rPr>
          <w:rFonts w:asciiTheme="majorHAnsi" w:hAnsiTheme="majorHAnsi" w:cstheme="majorHAnsi"/>
          <w:sz w:val="24"/>
          <w:szCs w:val="24"/>
          <w:lang w:val="en-US"/>
        </w:rPr>
        <w:t>i</w:t>
      </w:r>
      <w:proofErr w:type="spellEnd"/>
      <w:r w:rsidRPr="00A64A18">
        <w:rPr>
          <w:rFonts w:asciiTheme="majorHAnsi" w:hAnsiTheme="majorHAnsi" w:cstheme="majorHAnsi"/>
          <w:sz w:val="24"/>
          <w:szCs w:val="24"/>
          <w:lang w:val="en-US"/>
        </w:rPr>
        <w:t xml:space="preserve">) disclosed and ii) provided in full for inspection, as part of the response to this letter.  </w:t>
      </w:r>
    </w:p>
    <w:p w14:paraId="394E9EFB" w14:textId="77777777" w:rsidR="00015F88" w:rsidRPr="00A64A18" w:rsidRDefault="00015F88" w:rsidP="00015F88">
      <w:pPr>
        <w:pBdr>
          <w:left w:val="none" w:sz="0" w:space="4" w:color="auto"/>
        </w:pBdr>
        <w:shd w:val="clear" w:color="auto" w:fill="FFFFFF"/>
        <w:tabs>
          <w:tab w:val="left" w:pos="3330"/>
        </w:tabs>
        <w:spacing w:after="0" w:line="360" w:lineRule="auto"/>
        <w:jc w:val="both"/>
        <w:rPr>
          <w:rFonts w:asciiTheme="majorHAnsi" w:eastAsia="Times New Roman" w:hAnsiTheme="majorHAnsi" w:cstheme="majorHAnsi"/>
          <w:b/>
          <w:i/>
          <w:sz w:val="24"/>
          <w:szCs w:val="24"/>
          <w:highlight w:val="white"/>
        </w:rPr>
      </w:pPr>
    </w:p>
    <w:p w14:paraId="1835C4AD" w14:textId="77777777" w:rsidR="00015F88" w:rsidRPr="00A64A18" w:rsidRDefault="00015F88" w:rsidP="00015F88">
      <w:pPr>
        <w:pBdr>
          <w:left w:val="none" w:sz="0" w:space="4" w:color="auto"/>
        </w:pBdr>
        <w:shd w:val="clear" w:color="auto" w:fill="FFFFFF"/>
        <w:tabs>
          <w:tab w:val="left" w:pos="3330"/>
        </w:tabs>
        <w:spacing w:after="0" w:line="360" w:lineRule="auto"/>
        <w:jc w:val="both"/>
        <w:rPr>
          <w:rFonts w:asciiTheme="majorHAnsi" w:eastAsia="Times New Roman" w:hAnsiTheme="majorHAnsi" w:cstheme="majorHAnsi"/>
          <w:b/>
          <w:i/>
          <w:sz w:val="24"/>
          <w:szCs w:val="24"/>
          <w:highlight w:val="white"/>
        </w:rPr>
      </w:pPr>
      <w:r w:rsidRPr="00A64A18">
        <w:rPr>
          <w:rFonts w:asciiTheme="majorHAnsi" w:eastAsia="Times New Roman" w:hAnsiTheme="majorHAnsi" w:cstheme="majorHAnsi"/>
          <w:b/>
          <w:i/>
          <w:sz w:val="24"/>
          <w:szCs w:val="24"/>
          <w:highlight w:val="white"/>
        </w:rPr>
        <w:t>Legal background</w:t>
      </w:r>
    </w:p>
    <w:p w14:paraId="61C6D658" w14:textId="77777777" w:rsidR="00015F88" w:rsidRPr="00A64A18" w:rsidRDefault="00015F88" w:rsidP="00015F88">
      <w:pPr>
        <w:pBdr>
          <w:left w:val="none" w:sz="0" w:space="4" w:color="auto"/>
        </w:pBdr>
        <w:shd w:val="clear" w:color="auto" w:fill="FFFFFF"/>
        <w:tabs>
          <w:tab w:val="left" w:pos="3330"/>
        </w:tabs>
        <w:spacing w:after="0" w:line="360" w:lineRule="auto"/>
        <w:jc w:val="both"/>
        <w:rPr>
          <w:rFonts w:asciiTheme="majorHAnsi" w:eastAsia="Times New Roman" w:hAnsiTheme="majorHAnsi" w:cstheme="majorHAnsi"/>
          <w:i/>
          <w:sz w:val="24"/>
          <w:szCs w:val="24"/>
          <w:highlight w:val="white"/>
        </w:rPr>
      </w:pPr>
    </w:p>
    <w:p w14:paraId="2419E256" w14:textId="77777777" w:rsidR="00015F88" w:rsidRPr="00A64A18" w:rsidRDefault="00015F88" w:rsidP="00015F88">
      <w:pPr>
        <w:pBdr>
          <w:left w:val="none" w:sz="0" w:space="4" w:color="auto"/>
        </w:pBdr>
        <w:shd w:val="clear" w:color="auto" w:fill="FFFFFF"/>
        <w:tabs>
          <w:tab w:val="left" w:pos="3330"/>
        </w:tabs>
        <w:spacing w:after="0" w:line="360" w:lineRule="auto"/>
        <w:jc w:val="both"/>
        <w:rPr>
          <w:rFonts w:asciiTheme="majorHAnsi" w:eastAsia="Times New Roman" w:hAnsiTheme="majorHAnsi" w:cstheme="majorHAnsi"/>
          <w:i/>
          <w:sz w:val="24"/>
          <w:szCs w:val="24"/>
          <w:highlight w:val="white"/>
        </w:rPr>
      </w:pPr>
      <w:r w:rsidRPr="00A64A18">
        <w:rPr>
          <w:rFonts w:asciiTheme="majorHAnsi" w:eastAsia="Times New Roman" w:hAnsiTheme="majorHAnsi" w:cstheme="majorHAnsi"/>
          <w:i/>
          <w:sz w:val="24"/>
          <w:szCs w:val="24"/>
          <w:highlight w:val="white"/>
        </w:rPr>
        <w:t>Payment on Account (“</w:t>
      </w:r>
      <w:r w:rsidRPr="00A64A18">
        <w:rPr>
          <w:rFonts w:asciiTheme="majorHAnsi" w:eastAsia="Times New Roman" w:hAnsiTheme="majorHAnsi" w:cstheme="majorHAnsi"/>
          <w:b/>
          <w:i/>
          <w:sz w:val="24"/>
          <w:szCs w:val="24"/>
          <w:highlight w:val="white"/>
        </w:rPr>
        <w:t>Advance</w:t>
      </w:r>
      <w:r w:rsidRPr="00A64A18">
        <w:rPr>
          <w:rFonts w:asciiTheme="majorHAnsi" w:eastAsia="Times New Roman" w:hAnsiTheme="majorHAnsi" w:cstheme="majorHAnsi"/>
          <w:i/>
          <w:sz w:val="24"/>
          <w:szCs w:val="24"/>
          <w:highlight w:val="white"/>
        </w:rPr>
        <w:t>”)</w:t>
      </w:r>
    </w:p>
    <w:p w14:paraId="100CB418" w14:textId="77777777" w:rsidR="00015F88" w:rsidRPr="00A64A18" w:rsidRDefault="00015F88" w:rsidP="003B447C">
      <w:pPr>
        <w:pStyle w:val="NormalWeb"/>
        <w:numPr>
          <w:ilvl w:val="0"/>
          <w:numId w:val="5"/>
        </w:numPr>
        <w:spacing w:before="240" w:beforeAutospacing="0" w:line="360" w:lineRule="auto"/>
        <w:jc w:val="both"/>
        <w:rPr>
          <w:rFonts w:asciiTheme="majorHAnsi" w:hAnsiTheme="majorHAnsi" w:cstheme="majorHAnsi"/>
          <w:bCs/>
        </w:rPr>
      </w:pPr>
      <w:r w:rsidRPr="00A64A18">
        <w:rPr>
          <w:rFonts w:asciiTheme="majorHAnsi" w:hAnsiTheme="majorHAnsi" w:cstheme="majorHAnsi"/>
          <w:bCs/>
        </w:rPr>
        <w:t>The Social Security (Payment on Account of Benefits) Regulations 2013 (“</w:t>
      </w:r>
      <w:r w:rsidRPr="00A64A18">
        <w:rPr>
          <w:rFonts w:asciiTheme="majorHAnsi" w:hAnsiTheme="majorHAnsi" w:cstheme="majorHAnsi"/>
          <w:b/>
          <w:bCs/>
        </w:rPr>
        <w:t>SS (PAB) Regs</w:t>
      </w:r>
      <w:r w:rsidRPr="00A64A18">
        <w:rPr>
          <w:rFonts w:asciiTheme="majorHAnsi" w:hAnsiTheme="majorHAnsi" w:cstheme="majorHAnsi"/>
          <w:bCs/>
        </w:rPr>
        <w:t>”), made under s. 5(1)(r) Social Security Administration Act 1992 (“</w:t>
      </w:r>
      <w:proofErr w:type="spellStart"/>
      <w:r w:rsidRPr="00A64A18">
        <w:rPr>
          <w:rFonts w:asciiTheme="majorHAnsi" w:hAnsiTheme="majorHAnsi" w:cstheme="majorHAnsi"/>
          <w:b/>
          <w:bCs/>
        </w:rPr>
        <w:t>SSAA</w:t>
      </w:r>
      <w:proofErr w:type="spellEnd"/>
      <w:r w:rsidRPr="00A64A18">
        <w:rPr>
          <w:rFonts w:asciiTheme="majorHAnsi" w:hAnsiTheme="majorHAnsi" w:cstheme="majorHAnsi"/>
          <w:bCs/>
        </w:rPr>
        <w:t xml:space="preserve">”), allow for the making of the payment on account made to C. The law on the recovery of such payments is covered by </w:t>
      </w:r>
      <w:proofErr w:type="spellStart"/>
      <w:r w:rsidRPr="00A64A18">
        <w:rPr>
          <w:rFonts w:asciiTheme="majorHAnsi" w:hAnsiTheme="majorHAnsi" w:cstheme="majorHAnsi"/>
          <w:bCs/>
        </w:rPr>
        <w:t>s71ZG</w:t>
      </w:r>
      <w:proofErr w:type="spellEnd"/>
      <w:r w:rsidRPr="00A64A18">
        <w:rPr>
          <w:rFonts w:asciiTheme="majorHAnsi" w:hAnsiTheme="majorHAnsi" w:cstheme="majorHAnsi"/>
          <w:bCs/>
        </w:rPr>
        <w:t xml:space="preserve"> of the </w:t>
      </w:r>
      <w:proofErr w:type="spellStart"/>
      <w:r w:rsidRPr="00A64A18">
        <w:rPr>
          <w:rFonts w:asciiTheme="majorHAnsi" w:hAnsiTheme="majorHAnsi" w:cstheme="majorHAnsi"/>
          <w:bCs/>
        </w:rPr>
        <w:t>SSAA</w:t>
      </w:r>
      <w:proofErr w:type="spellEnd"/>
      <w:r w:rsidRPr="00A64A18">
        <w:rPr>
          <w:rFonts w:asciiTheme="majorHAnsi" w:hAnsiTheme="majorHAnsi" w:cstheme="majorHAnsi"/>
          <w:bCs/>
        </w:rPr>
        <w:t xml:space="preserve"> and regulations made thereunder.</w:t>
      </w:r>
    </w:p>
    <w:p w14:paraId="5265AEB2" w14:textId="77777777" w:rsidR="00015F88" w:rsidRPr="00A64A18" w:rsidRDefault="00015F88" w:rsidP="003B447C">
      <w:pPr>
        <w:pStyle w:val="NormalWeb"/>
        <w:numPr>
          <w:ilvl w:val="0"/>
          <w:numId w:val="5"/>
        </w:numPr>
        <w:spacing w:before="240" w:beforeAutospacing="0" w:line="360" w:lineRule="auto"/>
        <w:jc w:val="both"/>
        <w:rPr>
          <w:rFonts w:asciiTheme="majorHAnsi" w:hAnsiTheme="majorHAnsi" w:cstheme="majorHAnsi"/>
          <w:bCs/>
        </w:rPr>
      </w:pPr>
      <w:r w:rsidRPr="00A64A18">
        <w:rPr>
          <w:rFonts w:asciiTheme="majorHAnsi" w:hAnsiTheme="majorHAnsi" w:cstheme="majorHAnsi"/>
          <w:bCs/>
        </w:rPr>
        <w:t xml:space="preserve">Section </w:t>
      </w:r>
      <w:proofErr w:type="spellStart"/>
      <w:r w:rsidRPr="00A64A18">
        <w:rPr>
          <w:rFonts w:asciiTheme="majorHAnsi" w:hAnsiTheme="majorHAnsi" w:cstheme="majorHAnsi"/>
          <w:bCs/>
        </w:rPr>
        <w:t>71ZG</w:t>
      </w:r>
      <w:proofErr w:type="spellEnd"/>
      <w:r w:rsidRPr="00A64A18">
        <w:rPr>
          <w:rFonts w:asciiTheme="majorHAnsi" w:hAnsiTheme="majorHAnsi" w:cstheme="majorHAnsi"/>
          <w:bCs/>
        </w:rPr>
        <w:t xml:space="preserve"> </w:t>
      </w:r>
      <w:proofErr w:type="spellStart"/>
      <w:r w:rsidRPr="00A64A18">
        <w:rPr>
          <w:rFonts w:asciiTheme="majorHAnsi" w:hAnsiTheme="majorHAnsi" w:cstheme="majorHAnsi"/>
          <w:bCs/>
        </w:rPr>
        <w:t>SSAA</w:t>
      </w:r>
      <w:proofErr w:type="spellEnd"/>
      <w:r w:rsidRPr="00A64A18">
        <w:rPr>
          <w:rFonts w:asciiTheme="majorHAnsi" w:hAnsiTheme="majorHAnsi" w:cstheme="majorHAnsi"/>
          <w:bCs/>
        </w:rPr>
        <w:t>, states as follows:</w:t>
      </w:r>
    </w:p>
    <w:p w14:paraId="21EBC26D" w14:textId="77777777" w:rsidR="00015F88" w:rsidRPr="00A64A18" w:rsidRDefault="00015F88" w:rsidP="00015F88">
      <w:pPr>
        <w:pStyle w:val="NormalWeb"/>
        <w:spacing w:before="240" w:line="360" w:lineRule="auto"/>
        <w:ind w:left="1440"/>
        <w:jc w:val="both"/>
        <w:rPr>
          <w:rFonts w:asciiTheme="majorHAnsi" w:hAnsiTheme="majorHAnsi" w:cstheme="majorHAnsi"/>
          <w:bCs/>
          <w:i/>
        </w:rPr>
      </w:pPr>
      <w:proofErr w:type="spellStart"/>
      <w:r w:rsidRPr="00A64A18">
        <w:rPr>
          <w:rFonts w:asciiTheme="majorHAnsi" w:hAnsiTheme="majorHAnsi" w:cstheme="majorHAnsi"/>
          <w:b/>
          <w:bCs/>
          <w:i/>
        </w:rPr>
        <w:t>71ZG</w:t>
      </w:r>
      <w:proofErr w:type="spellEnd"/>
      <w:r w:rsidRPr="00A64A18">
        <w:rPr>
          <w:rFonts w:asciiTheme="majorHAnsi" w:hAnsiTheme="majorHAnsi" w:cstheme="majorHAnsi"/>
          <w:bCs/>
          <w:i/>
        </w:rPr>
        <w:t>.-(1) The Secretary of State may recover any amount paid under section 5(1)(r)   (payments on account).</w:t>
      </w:r>
    </w:p>
    <w:p w14:paraId="6C8E8851" w14:textId="77777777" w:rsidR="00015F88" w:rsidRPr="00A64A18" w:rsidRDefault="00015F88" w:rsidP="00015F88">
      <w:pPr>
        <w:pStyle w:val="NormalWeb"/>
        <w:spacing w:before="240" w:line="360" w:lineRule="auto"/>
        <w:ind w:left="1440"/>
        <w:jc w:val="both"/>
        <w:rPr>
          <w:rFonts w:asciiTheme="majorHAnsi" w:hAnsiTheme="majorHAnsi" w:cstheme="majorHAnsi"/>
          <w:bCs/>
          <w:i/>
        </w:rPr>
      </w:pPr>
      <w:r w:rsidRPr="00A64A18">
        <w:rPr>
          <w:rFonts w:asciiTheme="majorHAnsi" w:hAnsiTheme="majorHAnsi" w:cstheme="majorHAnsi"/>
          <w:bCs/>
          <w:i/>
        </w:rPr>
        <w:t>[….]</w:t>
      </w:r>
    </w:p>
    <w:p w14:paraId="33107886" w14:textId="77777777" w:rsidR="00015F88" w:rsidRPr="00A64A18" w:rsidRDefault="00015F88" w:rsidP="00015F88">
      <w:pPr>
        <w:pStyle w:val="NormalWeb"/>
        <w:spacing w:before="240" w:line="360" w:lineRule="auto"/>
        <w:ind w:left="1440"/>
        <w:jc w:val="both"/>
        <w:rPr>
          <w:rFonts w:asciiTheme="majorHAnsi" w:hAnsiTheme="majorHAnsi" w:cstheme="majorHAnsi"/>
          <w:bCs/>
          <w:i/>
        </w:rPr>
      </w:pPr>
      <w:r w:rsidRPr="00A64A18">
        <w:rPr>
          <w:rFonts w:asciiTheme="majorHAnsi" w:hAnsiTheme="majorHAnsi" w:cstheme="majorHAnsi"/>
          <w:bCs/>
          <w:i/>
        </w:rPr>
        <w:t>(3) Regulations may provide that amounts recoverable under this section are to be calculated or estimated in a prescribed manner.</w:t>
      </w:r>
    </w:p>
    <w:p w14:paraId="19EC7224" w14:textId="77777777" w:rsidR="00015F88" w:rsidRPr="00A64A18" w:rsidRDefault="00015F88" w:rsidP="003B447C">
      <w:pPr>
        <w:pStyle w:val="NormalWeb"/>
        <w:numPr>
          <w:ilvl w:val="0"/>
          <w:numId w:val="5"/>
        </w:numPr>
        <w:spacing w:before="240" w:line="360" w:lineRule="auto"/>
        <w:jc w:val="both"/>
        <w:rPr>
          <w:rFonts w:asciiTheme="majorHAnsi" w:hAnsiTheme="majorHAnsi" w:cstheme="majorHAnsi"/>
          <w:bCs/>
        </w:rPr>
      </w:pPr>
      <w:r w:rsidRPr="00A64A18">
        <w:rPr>
          <w:rFonts w:asciiTheme="majorHAnsi" w:hAnsiTheme="majorHAnsi" w:cstheme="majorHAnsi"/>
          <w:bCs/>
        </w:rPr>
        <w:t xml:space="preserve">The method of recovery and amount to be recovered under </w:t>
      </w:r>
      <w:proofErr w:type="spellStart"/>
      <w:r w:rsidRPr="00A64A18">
        <w:rPr>
          <w:rFonts w:asciiTheme="majorHAnsi" w:hAnsiTheme="majorHAnsi" w:cstheme="majorHAnsi"/>
          <w:bCs/>
        </w:rPr>
        <w:t>s71ZG</w:t>
      </w:r>
      <w:proofErr w:type="spellEnd"/>
      <w:r w:rsidRPr="00A64A18">
        <w:rPr>
          <w:rFonts w:asciiTheme="majorHAnsi" w:hAnsiTheme="majorHAnsi" w:cstheme="majorHAnsi"/>
          <w:bCs/>
        </w:rPr>
        <w:t xml:space="preserve"> </w:t>
      </w:r>
      <w:proofErr w:type="spellStart"/>
      <w:r w:rsidRPr="00A64A18">
        <w:rPr>
          <w:rFonts w:asciiTheme="majorHAnsi" w:hAnsiTheme="majorHAnsi" w:cstheme="majorHAnsi"/>
          <w:bCs/>
        </w:rPr>
        <w:t>SSAA</w:t>
      </w:r>
      <w:proofErr w:type="spellEnd"/>
      <w:r w:rsidRPr="00A64A18">
        <w:rPr>
          <w:rFonts w:asciiTheme="majorHAnsi" w:hAnsiTheme="majorHAnsi" w:cstheme="majorHAnsi"/>
          <w:bCs/>
        </w:rPr>
        <w:t xml:space="preserve"> are provided by the Social Security (Overpayments and Recovery) Regulations 2013 (“</w:t>
      </w:r>
      <w:r w:rsidRPr="00A64A18">
        <w:rPr>
          <w:rFonts w:asciiTheme="majorHAnsi" w:hAnsiTheme="majorHAnsi" w:cstheme="majorHAnsi"/>
          <w:b/>
          <w:bCs/>
        </w:rPr>
        <w:t>SS(OR) Regs</w:t>
      </w:r>
      <w:r w:rsidRPr="00A64A18">
        <w:rPr>
          <w:rFonts w:asciiTheme="majorHAnsi" w:hAnsiTheme="majorHAnsi" w:cstheme="majorHAnsi"/>
          <w:bCs/>
        </w:rPr>
        <w:t xml:space="preserve">”). </w:t>
      </w:r>
    </w:p>
    <w:p w14:paraId="1EE3912B" w14:textId="77777777" w:rsidR="00015F88" w:rsidRPr="00A64A18" w:rsidRDefault="00015F88" w:rsidP="003B447C">
      <w:pPr>
        <w:pStyle w:val="NormalWeb"/>
        <w:numPr>
          <w:ilvl w:val="0"/>
          <w:numId w:val="5"/>
        </w:numPr>
        <w:spacing w:before="240" w:line="360" w:lineRule="auto"/>
        <w:jc w:val="both"/>
        <w:rPr>
          <w:rFonts w:asciiTheme="majorHAnsi" w:hAnsiTheme="majorHAnsi" w:cstheme="majorHAnsi"/>
          <w:bCs/>
        </w:rPr>
      </w:pPr>
      <w:r w:rsidRPr="00A64A18">
        <w:rPr>
          <w:rFonts w:asciiTheme="majorHAnsi" w:hAnsiTheme="majorHAnsi" w:cstheme="majorHAnsi"/>
          <w:bCs/>
        </w:rPr>
        <w:t xml:space="preserve">Regulation 3(2)(b) SS(OR) Regs states that, in the SS(OR) Regs, “recoverable amount” includes amounts recoverable under </w:t>
      </w:r>
      <w:proofErr w:type="spellStart"/>
      <w:r w:rsidRPr="00A64A18">
        <w:rPr>
          <w:rFonts w:asciiTheme="majorHAnsi" w:hAnsiTheme="majorHAnsi" w:cstheme="majorHAnsi"/>
          <w:bCs/>
        </w:rPr>
        <w:t>s71ZG</w:t>
      </w:r>
      <w:proofErr w:type="spellEnd"/>
      <w:r w:rsidRPr="00A64A18">
        <w:rPr>
          <w:rFonts w:asciiTheme="majorHAnsi" w:hAnsiTheme="majorHAnsi" w:cstheme="majorHAnsi"/>
          <w:bCs/>
        </w:rPr>
        <w:t xml:space="preserve"> </w:t>
      </w:r>
      <w:proofErr w:type="spellStart"/>
      <w:r w:rsidRPr="00A64A18">
        <w:rPr>
          <w:rFonts w:asciiTheme="majorHAnsi" w:hAnsiTheme="majorHAnsi" w:cstheme="majorHAnsi"/>
          <w:bCs/>
        </w:rPr>
        <w:t>SSAA</w:t>
      </w:r>
      <w:proofErr w:type="spellEnd"/>
      <w:r w:rsidRPr="00A64A18">
        <w:rPr>
          <w:rFonts w:asciiTheme="majorHAnsi" w:hAnsiTheme="majorHAnsi" w:cstheme="majorHAnsi"/>
          <w:bCs/>
        </w:rPr>
        <w:t xml:space="preserve">, which are payments on account made under </w:t>
      </w:r>
      <w:proofErr w:type="spellStart"/>
      <w:r w:rsidRPr="00A64A18">
        <w:rPr>
          <w:rFonts w:asciiTheme="majorHAnsi" w:hAnsiTheme="majorHAnsi" w:cstheme="majorHAnsi"/>
          <w:bCs/>
        </w:rPr>
        <w:t>s5</w:t>
      </w:r>
      <w:proofErr w:type="spellEnd"/>
      <w:r w:rsidRPr="00A64A18">
        <w:rPr>
          <w:rFonts w:asciiTheme="majorHAnsi" w:hAnsiTheme="majorHAnsi" w:cstheme="majorHAnsi"/>
          <w:bCs/>
        </w:rPr>
        <w:t xml:space="preserve">(1)(r) </w:t>
      </w:r>
      <w:proofErr w:type="spellStart"/>
      <w:r w:rsidRPr="00A64A18">
        <w:rPr>
          <w:rFonts w:asciiTheme="majorHAnsi" w:hAnsiTheme="majorHAnsi" w:cstheme="majorHAnsi"/>
          <w:bCs/>
        </w:rPr>
        <w:t>SSAA</w:t>
      </w:r>
      <w:proofErr w:type="spellEnd"/>
      <w:r w:rsidRPr="00A64A18">
        <w:rPr>
          <w:rFonts w:asciiTheme="majorHAnsi" w:hAnsiTheme="majorHAnsi" w:cstheme="majorHAnsi"/>
          <w:bCs/>
        </w:rPr>
        <w:t xml:space="preserve">. </w:t>
      </w:r>
    </w:p>
    <w:p w14:paraId="1B44DA0B" w14:textId="77777777" w:rsidR="00015F88" w:rsidRPr="00A64A18" w:rsidRDefault="00015F88" w:rsidP="003B447C">
      <w:pPr>
        <w:pStyle w:val="NormalWeb"/>
        <w:numPr>
          <w:ilvl w:val="0"/>
          <w:numId w:val="5"/>
        </w:numPr>
        <w:spacing w:before="240" w:line="360" w:lineRule="auto"/>
        <w:jc w:val="both"/>
        <w:rPr>
          <w:rFonts w:asciiTheme="majorHAnsi" w:hAnsiTheme="majorHAnsi" w:cstheme="majorHAnsi"/>
          <w:bCs/>
        </w:rPr>
      </w:pPr>
      <w:r w:rsidRPr="00A64A18">
        <w:rPr>
          <w:rFonts w:asciiTheme="majorHAnsi" w:hAnsiTheme="majorHAnsi" w:cstheme="majorHAnsi"/>
          <w:bCs/>
        </w:rPr>
        <w:t>The SS(OR) Regs go on to direct how recoverable amounts are to be recovered by the Secretary of State. Specifically, reg 11(2) sets the maximum amounts that can be recovered from the UC claimant in any one assessment period. The maximum rates, in summary, are as follows:</w:t>
      </w:r>
    </w:p>
    <w:p w14:paraId="3B6D8D0C" w14:textId="77777777" w:rsidR="00015F88" w:rsidRPr="00A64A18" w:rsidRDefault="00015F88" w:rsidP="00015F88">
      <w:pPr>
        <w:pStyle w:val="NormalWeb"/>
        <w:spacing w:before="240" w:line="360" w:lineRule="auto"/>
        <w:ind w:left="1134"/>
        <w:jc w:val="both"/>
        <w:rPr>
          <w:rFonts w:asciiTheme="majorHAnsi" w:hAnsiTheme="majorHAnsi" w:cstheme="majorHAnsi"/>
          <w:bCs/>
        </w:rPr>
      </w:pPr>
      <w:r w:rsidRPr="00A64A18">
        <w:rPr>
          <w:rFonts w:asciiTheme="majorHAnsi" w:hAnsiTheme="majorHAnsi" w:cstheme="majorHAnsi"/>
          <w:bCs/>
        </w:rPr>
        <w:t>a) hardship payments (in the case of a person being sanctioned) and overpayments where the claimant or their partner has been found guilty of an offence, or has accepted a caution or agreed to pay a penalty - 40% of the standard allowance;</w:t>
      </w:r>
    </w:p>
    <w:p w14:paraId="74C8CFE9" w14:textId="77777777" w:rsidR="00015F88" w:rsidRPr="00A64A18" w:rsidRDefault="00015F88" w:rsidP="00015F88">
      <w:pPr>
        <w:pStyle w:val="NormalWeb"/>
        <w:spacing w:before="240" w:line="360" w:lineRule="auto"/>
        <w:ind w:left="1134"/>
        <w:jc w:val="both"/>
        <w:rPr>
          <w:rFonts w:asciiTheme="majorHAnsi" w:hAnsiTheme="majorHAnsi" w:cstheme="majorHAnsi"/>
          <w:bCs/>
        </w:rPr>
      </w:pPr>
      <w:r w:rsidRPr="00A64A18">
        <w:rPr>
          <w:rFonts w:asciiTheme="majorHAnsi" w:hAnsiTheme="majorHAnsi" w:cstheme="majorHAnsi"/>
          <w:bCs/>
        </w:rPr>
        <w:t>b) deductions from earned income except where a) applies - 25% of the standard allowance;</w:t>
      </w:r>
    </w:p>
    <w:p w14:paraId="56DD1395" w14:textId="77777777" w:rsidR="00015F88" w:rsidRPr="00A64A18" w:rsidRDefault="00015F88" w:rsidP="00015F88">
      <w:pPr>
        <w:pStyle w:val="NormalWeb"/>
        <w:spacing w:before="240" w:line="360" w:lineRule="auto"/>
        <w:ind w:left="1134"/>
        <w:jc w:val="both"/>
        <w:rPr>
          <w:rFonts w:asciiTheme="majorHAnsi" w:hAnsiTheme="majorHAnsi" w:cstheme="majorHAnsi"/>
          <w:bCs/>
        </w:rPr>
      </w:pPr>
      <w:r w:rsidRPr="00A64A18">
        <w:rPr>
          <w:rFonts w:asciiTheme="majorHAnsi" w:hAnsiTheme="majorHAnsi" w:cstheme="majorHAnsi"/>
          <w:bCs/>
        </w:rPr>
        <w:t>c) all other cases - 15% of the standard allowance.</w:t>
      </w:r>
    </w:p>
    <w:p w14:paraId="7A45115E" w14:textId="77777777" w:rsidR="00015F88" w:rsidRPr="00A64A18" w:rsidRDefault="00015F88" w:rsidP="003B447C">
      <w:pPr>
        <w:pStyle w:val="NormalWeb"/>
        <w:numPr>
          <w:ilvl w:val="0"/>
          <w:numId w:val="5"/>
        </w:numPr>
        <w:spacing w:before="240" w:line="360" w:lineRule="auto"/>
        <w:jc w:val="both"/>
        <w:rPr>
          <w:rFonts w:asciiTheme="majorHAnsi" w:hAnsiTheme="majorHAnsi" w:cstheme="majorHAnsi"/>
          <w:bCs/>
        </w:rPr>
      </w:pPr>
      <w:r w:rsidRPr="00A64A18">
        <w:rPr>
          <w:rFonts w:asciiTheme="majorHAnsi" w:hAnsiTheme="majorHAnsi" w:cstheme="majorHAnsi"/>
          <w:bCs/>
        </w:rPr>
        <w:lastRenderedPageBreak/>
        <w:t xml:space="preserve">In C’s case, paragraphs (a) and (c) do not apply and so the </w:t>
      </w:r>
      <w:r w:rsidRPr="00A64A18">
        <w:rPr>
          <w:rFonts w:asciiTheme="majorHAnsi" w:hAnsiTheme="majorHAnsi" w:cstheme="majorHAnsi"/>
          <w:bCs/>
          <w:i/>
        </w:rPr>
        <w:t>maximum</w:t>
      </w:r>
      <w:r w:rsidRPr="00A64A18">
        <w:rPr>
          <w:rFonts w:asciiTheme="majorHAnsi" w:hAnsiTheme="majorHAnsi" w:cstheme="majorHAnsi"/>
          <w:bCs/>
        </w:rPr>
        <w:t xml:space="preserve"> rate of recovery is 25%. The regulations do not set a </w:t>
      </w:r>
      <w:r w:rsidRPr="00A64A18">
        <w:rPr>
          <w:rFonts w:asciiTheme="majorHAnsi" w:hAnsiTheme="majorHAnsi" w:cstheme="majorHAnsi"/>
          <w:bCs/>
          <w:i/>
        </w:rPr>
        <w:t xml:space="preserve">minimum </w:t>
      </w:r>
      <w:r w:rsidRPr="00A64A18">
        <w:rPr>
          <w:rFonts w:asciiTheme="majorHAnsi" w:hAnsiTheme="majorHAnsi" w:cstheme="majorHAnsi"/>
          <w:bCs/>
        </w:rPr>
        <w:t>rate of recovery, allowing the Secretary of State discretion to deduct less than 25%, or to suspend recovery altogether where needed.</w:t>
      </w:r>
    </w:p>
    <w:p w14:paraId="46B845F9" w14:textId="77777777" w:rsidR="00015F88" w:rsidRPr="00A64A18" w:rsidRDefault="00015F88" w:rsidP="003B447C">
      <w:pPr>
        <w:pStyle w:val="NormalWeb"/>
        <w:numPr>
          <w:ilvl w:val="0"/>
          <w:numId w:val="5"/>
        </w:numPr>
        <w:spacing w:line="360" w:lineRule="auto"/>
        <w:jc w:val="both"/>
        <w:rPr>
          <w:rFonts w:asciiTheme="majorHAnsi" w:hAnsiTheme="majorHAnsi" w:cstheme="majorHAnsi"/>
          <w:bCs/>
        </w:rPr>
      </w:pPr>
      <w:r w:rsidRPr="00A64A18">
        <w:rPr>
          <w:rFonts w:asciiTheme="majorHAnsi" w:hAnsiTheme="majorHAnsi" w:cstheme="majorHAnsi"/>
          <w:bCs/>
        </w:rPr>
        <w:t>D has argued in correspondence to Child Poverty Action Group that recovery of advances is not made under reg 11 SS (OR) Regs, rather under reg 10 Social Security (Payments on Account of Benefit) Regulations 2013 (“</w:t>
      </w:r>
      <w:r w:rsidRPr="00A64A18">
        <w:rPr>
          <w:rFonts w:asciiTheme="majorHAnsi" w:hAnsiTheme="majorHAnsi" w:cstheme="majorHAnsi"/>
          <w:b/>
          <w:bCs/>
        </w:rPr>
        <w:t>SS(</w:t>
      </w:r>
      <w:proofErr w:type="spellStart"/>
      <w:r w:rsidRPr="00A64A18">
        <w:rPr>
          <w:rFonts w:asciiTheme="majorHAnsi" w:hAnsiTheme="majorHAnsi" w:cstheme="majorHAnsi"/>
          <w:b/>
          <w:bCs/>
        </w:rPr>
        <w:t>POAB</w:t>
      </w:r>
      <w:proofErr w:type="spellEnd"/>
      <w:r w:rsidRPr="00A64A18">
        <w:rPr>
          <w:rFonts w:asciiTheme="majorHAnsi" w:hAnsiTheme="majorHAnsi" w:cstheme="majorHAnsi"/>
          <w:b/>
          <w:bCs/>
        </w:rPr>
        <w:t>) Regs</w:t>
      </w:r>
      <w:r w:rsidRPr="00A64A18">
        <w:rPr>
          <w:rFonts w:asciiTheme="majorHAnsi" w:hAnsiTheme="majorHAnsi" w:cstheme="majorHAnsi"/>
          <w:bCs/>
        </w:rPr>
        <w:t>”), which provides that “</w:t>
      </w:r>
      <w:r w:rsidRPr="00A64A18">
        <w:rPr>
          <w:rFonts w:asciiTheme="majorHAnsi" w:hAnsiTheme="majorHAnsi" w:cstheme="majorHAnsi"/>
          <w:bCs/>
          <w:i/>
        </w:rPr>
        <w:t xml:space="preserve">where it is practicable to do so </w:t>
      </w:r>
      <w:r w:rsidRPr="00A64A18">
        <w:rPr>
          <w:rFonts w:asciiTheme="majorHAnsi" w:hAnsiTheme="majorHAnsi" w:cstheme="majorHAnsi"/>
          <w:bCs/>
        </w:rPr>
        <w:t xml:space="preserve">[an </w:t>
      </w:r>
      <w:r w:rsidRPr="00A64A18">
        <w:rPr>
          <w:rFonts w:asciiTheme="majorHAnsi" w:hAnsiTheme="majorHAnsi" w:cstheme="majorHAnsi"/>
          <w:bCs/>
          <w:color w:val="000000" w:themeColor="text1"/>
        </w:rPr>
        <w:t xml:space="preserve">advance] </w:t>
      </w:r>
      <w:r w:rsidRPr="00A64A18">
        <w:rPr>
          <w:rFonts w:asciiTheme="majorHAnsi" w:hAnsiTheme="majorHAnsi" w:cstheme="majorHAnsi"/>
          <w:bCs/>
          <w:i/>
          <w:color w:val="000000" w:themeColor="text1"/>
        </w:rPr>
        <w:t>is to be offset</w:t>
      </w:r>
      <w:r w:rsidRPr="00A64A18">
        <w:rPr>
          <w:rFonts w:asciiTheme="majorHAnsi" w:hAnsiTheme="majorHAnsi" w:cstheme="majorHAnsi"/>
          <w:bCs/>
          <w:color w:val="000000" w:themeColor="text1"/>
        </w:rPr>
        <w:t xml:space="preserve">” from a claimants’ ongoing UC payments. We do not accept this, however, for the purposes of C’s case it is immaterial whether one </w:t>
      </w:r>
      <w:r w:rsidRPr="00A64A18">
        <w:rPr>
          <w:rFonts w:asciiTheme="majorHAnsi" w:hAnsiTheme="majorHAnsi" w:cstheme="majorHAnsi"/>
          <w:color w:val="000000" w:themeColor="text1"/>
        </w:rPr>
        <w:t>analyses the recovery of the advance as via deduction under reg 11 SS(OR) Regs or as via offsetting under reg 10 SS(</w:t>
      </w:r>
      <w:proofErr w:type="spellStart"/>
      <w:r w:rsidRPr="00A64A18">
        <w:rPr>
          <w:rFonts w:asciiTheme="majorHAnsi" w:hAnsiTheme="majorHAnsi" w:cstheme="majorHAnsi"/>
          <w:color w:val="000000" w:themeColor="text1"/>
        </w:rPr>
        <w:t>POAB</w:t>
      </w:r>
      <w:proofErr w:type="spellEnd"/>
      <w:r w:rsidRPr="00A64A18">
        <w:rPr>
          <w:rFonts w:asciiTheme="majorHAnsi" w:hAnsiTheme="majorHAnsi" w:cstheme="majorHAnsi"/>
          <w:color w:val="000000" w:themeColor="text1"/>
        </w:rPr>
        <w:t>) Regs</w:t>
      </w:r>
      <w:r w:rsidRPr="00A64A18">
        <w:rPr>
          <w:rFonts w:asciiTheme="majorHAnsi" w:hAnsiTheme="majorHAnsi" w:cstheme="majorHAnsi"/>
          <w:bCs/>
          <w:color w:val="000000" w:themeColor="text1"/>
        </w:rPr>
        <w:t xml:space="preserve"> as discretion, as exists under reg 11 SS(OR) Regs as </w:t>
      </w:r>
      <w:r w:rsidRPr="00A64A18">
        <w:rPr>
          <w:rFonts w:asciiTheme="majorHAnsi" w:hAnsiTheme="majorHAnsi" w:cstheme="majorHAnsi"/>
          <w:color w:val="000000" w:themeColor="text1"/>
          <w:shd w:val="clear" w:color="auto" w:fill="FFFFFF"/>
        </w:rPr>
        <w:t>to</w:t>
      </w:r>
      <w:r w:rsidRPr="00A64A18">
        <w:rPr>
          <w:rFonts w:asciiTheme="majorHAnsi" w:hAnsiTheme="majorHAnsi" w:cstheme="majorHAnsi"/>
          <w:i/>
          <w:color w:val="000000" w:themeColor="text1"/>
          <w:shd w:val="clear" w:color="auto" w:fill="FFFFFF"/>
        </w:rPr>
        <w:t xml:space="preserve"> “the extent that there may be recovered</w:t>
      </w:r>
      <w:r w:rsidRPr="00A64A18">
        <w:rPr>
          <w:rFonts w:asciiTheme="majorHAnsi" w:hAnsiTheme="majorHAnsi" w:cstheme="majorHAnsi"/>
          <w:color w:val="000000" w:themeColor="text1"/>
        </w:rPr>
        <w:t>”,</w:t>
      </w:r>
      <w:r w:rsidRPr="00A64A18">
        <w:rPr>
          <w:rFonts w:asciiTheme="majorHAnsi" w:hAnsiTheme="majorHAnsi" w:cstheme="majorHAnsi"/>
          <w:bCs/>
          <w:color w:val="000000" w:themeColor="text1"/>
        </w:rPr>
        <w:t xml:space="preserve"> also exists under reg 10 SS(</w:t>
      </w:r>
      <w:proofErr w:type="spellStart"/>
      <w:r w:rsidRPr="00A64A18">
        <w:rPr>
          <w:rFonts w:asciiTheme="majorHAnsi" w:hAnsiTheme="majorHAnsi" w:cstheme="majorHAnsi"/>
          <w:bCs/>
          <w:color w:val="000000" w:themeColor="text1"/>
        </w:rPr>
        <w:t>POAB</w:t>
      </w:r>
      <w:proofErr w:type="spellEnd"/>
      <w:r w:rsidRPr="00A64A18">
        <w:rPr>
          <w:rFonts w:asciiTheme="majorHAnsi" w:hAnsiTheme="majorHAnsi" w:cstheme="majorHAnsi"/>
          <w:bCs/>
        </w:rPr>
        <w:t>) Regs as to when</w:t>
      </w:r>
      <w:r w:rsidRPr="00A64A18">
        <w:rPr>
          <w:rFonts w:asciiTheme="majorHAnsi" w:hAnsiTheme="majorHAnsi" w:cstheme="majorHAnsi"/>
          <w:bCs/>
          <w:i/>
        </w:rPr>
        <w:t xml:space="preserve"> “it is practicable</w:t>
      </w:r>
      <w:r w:rsidRPr="00A64A18">
        <w:rPr>
          <w:rFonts w:asciiTheme="majorHAnsi" w:hAnsiTheme="majorHAnsi" w:cstheme="majorHAnsi"/>
          <w:bCs/>
        </w:rPr>
        <w:t xml:space="preserve">” to offset an amount. </w:t>
      </w:r>
    </w:p>
    <w:p w14:paraId="266140FE" w14:textId="77777777" w:rsidR="00015F88" w:rsidRPr="00A64A18" w:rsidRDefault="00015F88" w:rsidP="003B447C">
      <w:pPr>
        <w:pStyle w:val="NormalWeb"/>
        <w:numPr>
          <w:ilvl w:val="0"/>
          <w:numId w:val="5"/>
        </w:numPr>
        <w:spacing w:line="360" w:lineRule="auto"/>
        <w:jc w:val="both"/>
        <w:rPr>
          <w:rFonts w:asciiTheme="majorHAnsi" w:hAnsiTheme="majorHAnsi" w:cstheme="majorHAnsi"/>
          <w:bCs/>
        </w:rPr>
      </w:pPr>
      <w:r w:rsidRPr="00A64A18">
        <w:rPr>
          <w:rFonts w:asciiTheme="majorHAnsi" w:hAnsiTheme="majorHAnsi" w:cstheme="majorHAnsi"/>
          <w:bCs/>
        </w:rPr>
        <w:t>Notably, reg 10 SS(</w:t>
      </w:r>
      <w:proofErr w:type="spellStart"/>
      <w:r w:rsidRPr="00A64A18">
        <w:rPr>
          <w:rFonts w:asciiTheme="majorHAnsi" w:hAnsiTheme="majorHAnsi" w:cstheme="majorHAnsi"/>
          <w:bCs/>
        </w:rPr>
        <w:t>POAB</w:t>
      </w:r>
      <w:proofErr w:type="spellEnd"/>
      <w:r w:rsidRPr="00A64A18">
        <w:rPr>
          <w:rFonts w:asciiTheme="majorHAnsi" w:hAnsiTheme="majorHAnsi" w:cstheme="majorHAnsi"/>
          <w:bCs/>
        </w:rPr>
        <w:t xml:space="preserve">) Regs sets neither a minimum nor maximum amount to be ‘offset’ from the claimants UC payments, nor </w:t>
      </w:r>
      <w:proofErr w:type="gramStart"/>
      <w:r w:rsidRPr="00A64A18">
        <w:rPr>
          <w:rFonts w:asciiTheme="majorHAnsi" w:hAnsiTheme="majorHAnsi" w:cstheme="majorHAnsi"/>
          <w:bCs/>
        </w:rPr>
        <w:t>a time period</w:t>
      </w:r>
      <w:proofErr w:type="gramEnd"/>
      <w:r w:rsidRPr="00A64A18">
        <w:rPr>
          <w:rFonts w:asciiTheme="majorHAnsi" w:hAnsiTheme="majorHAnsi" w:cstheme="majorHAnsi"/>
          <w:bCs/>
        </w:rPr>
        <w:t xml:space="preserve"> in which the advance must be recovered. Such limits are provided in D’s guidance only, see for example operational guidance “</w:t>
      </w:r>
      <w:r w:rsidRPr="00A64A18">
        <w:rPr>
          <w:rFonts w:asciiTheme="majorHAnsi" w:hAnsiTheme="majorHAnsi" w:cstheme="majorHAnsi"/>
        </w:rPr>
        <w:t>Advances- New Claim” (</w:t>
      </w:r>
      <w:proofErr w:type="spellStart"/>
      <w:r w:rsidRPr="00A64A18">
        <w:rPr>
          <w:rFonts w:asciiTheme="majorHAnsi" w:hAnsiTheme="majorHAnsi" w:cstheme="majorHAnsi"/>
        </w:rPr>
        <w:t>V15</w:t>
      </w:r>
      <w:proofErr w:type="spellEnd"/>
      <w:r w:rsidRPr="00A64A18">
        <w:rPr>
          <w:rFonts w:asciiTheme="majorHAnsi" w:hAnsiTheme="majorHAnsi" w:cstheme="majorHAnsi"/>
        </w:rPr>
        <w:t>)</w:t>
      </w:r>
      <w:r w:rsidRPr="00A64A18">
        <w:rPr>
          <w:rStyle w:val="FootnoteReference"/>
          <w:rFonts w:asciiTheme="majorHAnsi" w:hAnsiTheme="majorHAnsi" w:cstheme="majorHAnsi"/>
        </w:rPr>
        <w:footnoteReference w:id="3"/>
      </w:r>
      <w:r w:rsidRPr="00A64A18">
        <w:rPr>
          <w:rFonts w:asciiTheme="majorHAnsi" w:hAnsiTheme="majorHAnsi" w:cstheme="majorHAnsi"/>
        </w:rPr>
        <w:t>, which if followed in preference to the regulations, fetters the discretion available to D under the regulations (</w:t>
      </w:r>
      <w:r w:rsidRPr="00A64A18">
        <w:rPr>
          <w:rFonts w:asciiTheme="majorHAnsi" w:hAnsiTheme="majorHAnsi" w:cstheme="majorHAnsi"/>
          <w:color w:val="000000" w:themeColor="text1"/>
        </w:rPr>
        <w:t>reg 11 SS(OR) Regs or reg 10 SS(</w:t>
      </w:r>
      <w:proofErr w:type="spellStart"/>
      <w:r w:rsidRPr="00A64A18">
        <w:rPr>
          <w:rFonts w:asciiTheme="majorHAnsi" w:hAnsiTheme="majorHAnsi" w:cstheme="majorHAnsi"/>
          <w:color w:val="000000" w:themeColor="text1"/>
        </w:rPr>
        <w:t>POAB</w:t>
      </w:r>
      <w:proofErr w:type="spellEnd"/>
      <w:r w:rsidRPr="00A64A18">
        <w:rPr>
          <w:rFonts w:asciiTheme="majorHAnsi" w:hAnsiTheme="majorHAnsi" w:cstheme="majorHAnsi"/>
          <w:color w:val="000000" w:themeColor="text1"/>
        </w:rPr>
        <w:t>) Regs)</w:t>
      </w:r>
      <w:r w:rsidRPr="00A64A18">
        <w:rPr>
          <w:rFonts w:asciiTheme="majorHAnsi" w:hAnsiTheme="majorHAnsi" w:cstheme="majorHAnsi"/>
          <w:bCs/>
        </w:rPr>
        <w:t xml:space="preserve">. </w:t>
      </w:r>
    </w:p>
    <w:p w14:paraId="76B29391" w14:textId="77777777" w:rsidR="00015F88" w:rsidRPr="00A64A18" w:rsidRDefault="00015F88" w:rsidP="00015F88">
      <w:pPr>
        <w:pStyle w:val="NormalWeb"/>
        <w:spacing w:before="240" w:beforeAutospacing="0" w:line="360" w:lineRule="auto"/>
        <w:jc w:val="both"/>
        <w:rPr>
          <w:rFonts w:asciiTheme="majorHAnsi" w:hAnsiTheme="majorHAnsi" w:cstheme="majorHAnsi"/>
          <w:bCs/>
          <w:i/>
        </w:rPr>
      </w:pPr>
      <w:r w:rsidRPr="00A64A18">
        <w:rPr>
          <w:rFonts w:asciiTheme="majorHAnsi" w:hAnsiTheme="majorHAnsi" w:cstheme="majorHAnsi"/>
          <w:bCs/>
          <w:i/>
        </w:rPr>
        <w:t>Tax Credit Overpayment</w:t>
      </w:r>
    </w:p>
    <w:p w14:paraId="3BD41BA9" w14:textId="77777777" w:rsidR="00015F88" w:rsidRPr="00A64A18" w:rsidRDefault="00015F88" w:rsidP="003B447C">
      <w:pPr>
        <w:pStyle w:val="NormalWeb"/>
        <w:numPr>
          <w:ilvl w:val="0"/>
          <w:numId w:val="5"/>
        </w:numPr>
        <w:pBdr>
          <w:bottom w:val="none" w:sz="0" w:space="10" w:color="auto"/>
        </w:pBdr>
        <w:shd w:val="clear" w:color="auto" w:fill="FFFFFF"/>
        <w:tabs>
          <w:tab w:val="left" w:pos="3330"/>
        </w:tabs>
        <w:spacing w:before="240" w:after="0" w:line="360" w:lineRule="auto"/>
        <w:jc w:val="both"/>
        <w:rPr>
          <w:rFonts w:asciiTheme="majorHAnsi" w:hAnsiTheme="majorHAnsi" w:cstheme="majorHAnsi"/>
          <w:b/>
          <w:highlight w:val="white"/>
        </w:rPr>
      </w:pPr>
      <w:r w:rsidRPr="00A64A18">
        <w:rPr>
          <w:rFonts w:asciiTheme="majorHAnsi" w:hAnsiTheme="majorHAnsi" w:cstheme="majorHAnsi"/>
          <w:highlight w:val="white"/>
        </w:rPr>
        <w:t>Under reg 28(1)(b) of the Tax Credits Act 2002 an overpayment of tax credits may be treated and recovered by D as an overpayment of UC.</w:t>
      </w:r>
    </w:p>
    <w:p w14:paraId="5335F125" w14:textId="77777777" w:rsidR="00015F88" w:rsidRPr="00A64A18" w:rsidRDefault="00015F88" w:rsidP="003B447C">
      <w:pPr>
        <w:pStyle w:val="ListParagraph"/>
        <w:numPr>
          <w:ilvl w:val="0"/>
          <w:numId w:val="5"/>
        </w:numPr>
        <w:spacing w:line="360" w:lineRule="auto"/>
        <w:jc w:val="both"/>
        <w:rPr>
          <w:rFonts w:asciiTheme="majorHAnsi" w:eastAsia="Times New Roman" w:hAnsiTheme="majorHAnsi" w:cstheme="majorHAnsi"/>
          <w:sz w:val="24"/>
          <w:szCs w:val="24"/>
        </w:rPr>
      </w:pPr>
      <w:r w:rsidRPr="00A64A18">
        <w:rPr>
          <w:rFonts w:asciiTheme="majorHAnsi" w:eastAsia="Times New Roman" w:hAnsiTheme="majorHAnsi" w:cstheme="majorHAnsi"/>
          <w:sz w:val="24"/>
          <w:szCs w:val="24"/>
          <w:highlight w:val="white"/>
        </w:rPr>
        <w:t xml:space="preserve">The </w:t>
      </w:r>
      <w:r w:rsidRPr="00A64A18">
        <w:rPr>
          <w:rFonts w:asciiTheme="majorHAnsi" w:eastAsia="Times New Roman" w:hAnsiTheme="majorHAnsi" w:cstheme="majorHAnsi"/>
          <w:i/>
          <w:sz w:val="24"/>
          <w:szCs w:val="24"/>
          <w:highlight w:val="white"/>
        </w:rPr>
        <w:t>maximum</w:t>
      </w:r>
      <w:r w:rsidRPr="00A64A18">
        <w:rPr>
          <w:rFonts w:asciiTheme="majorHAnsi" w:eastAsia="Times New Roman" w:hAnsiTheme="majorHAnsi" w:cstheme="majorHAnsi"/>
          <w:sz w:val="24"/>
          <w:szCs w:val="24"/>
          <w:highlight w:val="white"/>
        </w:rPr>
        <w:t xml:space="preserve"> rat</w:t>
      </w:r>
      <w:r w:rsidRPr="00A64A18">
        <w:rPr>
          <w:rFonts w:asciiTheme="majorHAnsi" w:hAnsiTheme="majorHAnsi" w:cstheme="majorHAnsi"/>
          <w:sz w:val="24"/>
          <w:szCs w:val="24"/>
          <w:highlight w:val="white"/>
        </w:rPr>
        <w:t xml:space="preserve">es of recovery for overpayments </w:t>
      </w:r>
      <w:r w:rsidRPr="00A64A18">
        <w:rPr>
          <w:rFonts w:asciiTheme="majorHAnsi" w:eastAsia="Times New Roman" w:hAnsiTheme="majorHAnsi" w:cstheme="majorHAnsi"/>
          <w:sz w:val="24"/>
          <w:szCs w:val="24"/>
          <w:highlight w:val="white"/>
        </w:rPr>
        <w:t>falls under re. 11 SS (OR) Regs, as also</w:t>
      </w:r>
      <w:r w:rsidRPr="00A64A18">
        <w:rPr>
          <w:rFonts w:asciiTheme="majorHAnsi" w:hAnsiTheme="majorHAnsi" w:cstheme="majorHAnsi"/>
          <w:sz w:val="24"/>
          <w:szCs w:val="24"/>
          <w:highlight w:val="white"/>
        </w:rPr>
        <w:t xml:space="preserve"> applies to payments on account. </w:t>
      </w:r>
    </w:p>
    <w:p w14:paraId="5770EE9C" w14:textId="77777777" w:rsidR="00015F88" w:rsidRPr="00A64A18" w:rsidRDefault="00015F88" w:rsidP="003B447C">
      <w:pPr>
        <w:pStyle w:val="ListParagraph"/>
        <w:numPr>
          <w:ilvl w:val="0"/>
          <w:numId w:val="5"/>
        </w:numPr>
        <w:spacing w:line="360" w:lineRule="auto"/>
        <w:jc w:val="both"/>
        <w:rPr>
          <w:rFonts w:asciiTheme="majorHAnsi" w:eastAsia="Times New Roman" w:hAnsiTheme="majorHAnsi" w:cstheme="majorHAnsi"/>
          <w:sz w:val="24"/>
          <w:szCs w:val="24"/>
        </w:rPr>
      </w:pPr>
      <w:r w:rsidRPr="00A64A18">
        <w:rPr>
          <w:rFonts w:asciiTheme="majorHAnsi" w:hAnsiTheme="majorHAnsi" w:cstheme="majorHAnsi"/>
          <w:sz w:val="24"/>
          <w:szCs w:val="24"/>
          <w:highlight w:val="white"/>
        </w:rPr>
        <w:t>As with payments on account</w:t>
      </w:r>
      <w:r w:rsidRPr="00A64A18">
        <w:rPr>
          <w:rFonts w:asciiTheme="majorHAnsi" w:hAnsiTheme="majorHAnsi" w:cstheme="majorHAnsi"/>
          <w:sz w:val="24"/>
          <w:szCs w:val="24"/>
        </w:rPr>
        <w:t>, t</w:t>
      </w:r>
      <w:r w:rsidRPr="00A64A18">
        <w:rPr>
          <w:rFonts w:asciiTheme="majorHAnsi" w:eastAsia="Times New Roman" w:hAnsiTheme="majorHAnsi" w:cstheme="majorHAnsi"/>
          <w:sz w:val="24"/>
          <w:szCs w:val="24"/>
        </w:rPr>
        <w:t xml:space="preserve">he Regulations do not set a </w:t>
      </w:r>
      <w:r w:rsidRPr="00A64A18">
        <w:rPr>
          <w:rFonts w:asciiTheme="majorHAnsi" w:eastAsia="Times New Roman" w:hAnsiTheme="majorHAnsi" w:cstheme="majorHAnsi"/>
          <w:i/>
          <w:sz w:val="24"/>
          <w:szCs w:val="24"/>
        </w:rPr>
        <w:t>minimum</w:t>
      </w:r>
      <w:r w:rsidRPr="00A64A18">
        <w:rPr>
          <w:rFonts w:asciiTheme="majorHAnsi" w:eastAsia="Times New Roman" w:hAnsiTheme="majorHAnsi" w:cstheme="majorHAnsi"/>
          <w:sz w:val="24"/>
          <w:szCs w:val="24"/>
        </w:rPr>
        <w:t xml:space="preserve"> rate of recovery, allowing D discretion to deduct less than 25%, or to suspend recovery altogether where needed.</w:t>
      </w:r>
    </w:p>
    <w:p w14:paraId="227EAC2B" w14:textId="77777777" w:rsidR="00015F88" w:rsidRPr="00A64A18" w:rsidRDefault="00015F88" w:rsidP="00015F88">
      <w:pPr>
        <w:pStyle w:val="ListParagraph"/>
        <w:spacing w:line="360" w:lineRule="auto"/>
        <w:ind w:left="0"/>
        <w:jc w:val="both"/>
        <w:rPr>
          <w:rFonts w:asciiTheme="majorHAnsi" w:hAnsiTheme="majorHAnsi" w:cstheme="majorHAnsi"/>
          <w:b/>
          <w:i/>
          <w:color w:val="000000" w:themeColor="text1"/>
          <w:sz w:val="24"/>
          <w:szCs w:val="24"/>
        </w:rPr>
      </w:pPr>
    </w:p>
    <w:p w14:paraId="709FAAC3" w14:textId="77777777" w:rsidR="00015F88" w:rsidRPr="00A64A18" w:rsidRDefault="00015F88" w:rsidP="00015F88">
      <w:pPr>
        <w:pStyle w:val="ListParagraph"/>
        <w:spacing w:line="360" w:lineRule="auto"/>
        <w:ind w:left="0"/>
        <w:jc w:val="both"/>
        <w:rPr>
          <w:rFonts w:asciiTheme="majorHAnsi" w:hAnsiTheme="majorHAnsi" w:cstheme="majorHAnsi"/>
          <w:color w:val="FF0000"/>
          <w:sz w:val="24"/>
          <w:szCs w:val="24"/>
        </w:rPr>
      </w:pPr>
      <w:r w:rsidRPr="00A64A18">
        <w:rPr>
          <w:rFonts w:asciiTheme="majorHAnsi" w:hAnsiTheme="majorHAnsi" w:cstheme="majorHAnsi"/>
          <w:i/>
          <w:color w:val="000000" w:themeColor="text1"/>
          <w:sz w:val="24"/>
          <w:szCs w:val="24"/>
        </w:rPr>
        <w:t>Total deductions: D’s Guidance on Debt and Deductions That Can Be Taken from Payments</w:t>
      </w:r>
    </w:p>
    <w:p w14:paraId="3866DD12" w14:textId="77777777" w:rsidR="00015F88" w:rsidRPr="00A64A18" w:rsidRDefault="00015F88" w:rsidP="00015F88">
      <w:pPr>
        <w:pStyle w:val="ListParagraph"/>
        <w:spacing w:line="360" w:lineRule="auto"/>
        <w:ind w:left="567"/>
        <w:rPr>
          <w:rFonts w:asciiTheme="majorHAnsi" w:eastAsia="Times New Roman" w:hAnsiTheme="majorHAnsi" w:cstheme="majorHAnsi"/>
          <w:sz w:val="24"/>
          <w:szCs w:val="24"/>
        </w:rPr>
      </w:pPr>
    </w:p>
    <w:p w14:paraId="5D3BDA79" w14:textId="77777777" w:rsidR="00015F88" w:rsidRPr="00A64A18" w:rsidRDefault="00015F88" w:rsidP="003B447C">
      <w:pPr>
        <w:pStyle w:val="ListParagraph"/>
        <w:numPr>
          <w:ilvl w:val="0"/>
          <w:numId w:val="5"/>
        </w:numPr>
        <w:spacing w:line="360" w:lineRule="auto"/>
        <w:rPr>
          <w:rFonts w:asciiTheme="majorHAnsi" w:eastAsia="Times New Roman" w:hAnsiTheme="majorHAnsi" w:cstheme="majorHAnsi"/>
          <w:sz w:val="24"/>
          <w:szCs w:val="24"/>
        </w:rPr>
      </w:pPr>
      <w:r w:rsidRPr="00A64A18">
        <w:rPr>
          <w:rFonts w:asciiTheme="majorHAnsi" w:hAnsiTheme="majorHAnsi" w:cstheme="majorHAnsi"/>
          <w:color w:val="000000" w:themeColor="text1"/>
          <w:sz w:val="24"/>
          <w:szCs w:val="24"/>
        </w:rPr>
        <w:lastRenderedPageBreak/>
        <w:t>D’s guidance “Universal Credit: debt and deductions that can be taken from payments”</w:t>
      </w:r>
      <w:r w:rsidRPr="00A64A18">
        <w:rPr>
          <w:rStyle w:val="FootnoteReference"/>
          <w:rFonts w:asciiTheme="majorHAnsi" w:hAnsiTheme="majorHAnsi" w:cstheme="majorHAnsi"/>
          <w:color w:val="000000" w:themeColor="text1"/>
          <w:sz w:val="24"/>
          <w:szCs w:val="24"/>
        </w:rPr>
        <w:footnoteReference w:id="4"/>
      </w:r>
      <w:r w:rsidRPr="00A64A18">
        <w:rPr>
          <w:rFonts w:asciiTheme="majorHAnsi" w:hAnsiTheme="majorHAnsi" w:cstheme="majorHAnsi"/>
          <w:color w:val="000000" w:themeColor="text1"/>
          <w:sz w:val="24"/>
          <w:szCs w:val="24"/>
        </w:rPr>
        <w:t xml:space="preserve"> was updated on 16</w:t>
      </w:r>
      <w:r w:rsidRPr="00A64A18">
        <w:rPr>
          <w:rFonts w:asciiTheme="majorHAnsi" w:hAnsiTheme="majorHAnsi" w:cstheme="majorHAnsi"/>
          <w:color w:val="000000" w:themeColor="text1"/>
          <w:sz w:val="24"/>
          <w:szCs w:val="24"/>
          <w:vertAlign w:val="superscript"/>
        </w:rPr>
        <w:t>th</w:t>
      </w:r>
      <w:r w:rsidRPr="00A64A18">
        <w:rPr>
          <w:rFonts w:asciiTheme="majorHAnsi" w:hAnsiTheme="majorHAnsi" w:cstheme="majorHAnsi"/>
          <w:color w:val="000000" w:themeColor="text1"/>
          <w:sz w:val="24"/>
          <w:szCs w:val="24"/>
        </w:rPr>
        <w:t xml:space="preserve"> of October 2019 to reduce the total maximum deduction from a Claimant’s standard UC allowance from 40% to 30%:</w:t>
      </w:r>
    </w:p>
    <w:p w14:paraId="196AD39A" w14:textId="77777777" w:rsidR="00015F88" w:rsidRPr="00A64A18" w:rsidRDefault="00015F88" w:rsidP="00015F88">
      <w:pPr>
        <w:pStyle w:val="legclearfix"/>
        <w:shd w:val="clear" w:color="auto" w:fill="FFFFFF"/>
        <w:spacing w:line="360" w:lineRule="auto"/>
        <w:ind w:left="1134"/>
        <w:jc w:val="both"/>
        <w:rPr>
          <w:rStyle w:val="legds"/>
          <w:rFonts w:asciiTheme="majorHAnsi" w:hAnsiTheme="majorHAnsi" w:cstheme="majorHAnsi"/>
          <w:i/>
          <w:color w:val="000000" w:themeColor="text1"/>
        </w:rPr>
      </w:pPr>
      <w:r w:rsidRPr="00A64A18">
        <w:rPr>
          <w:rStyle w:val="legds"/>
          <w:rFonts w:asciiTheme="majorHAnsi" w:hAnsiTheme="majorHAnsi" w:cstheme="majorHAnsi"/>
          <w:i/>
          <w:color w:val="000000" w:themeColor="text1"/>
        </w:rPr>
        <w:t>There is an overall maximum percentage rate for all debts and deductions that can be taken from a Universal Credit payment. The maximum amount that can be deducted is an amount equivalent to 30% of the claimant’s Universal Credit standard allowance.</w:t>
      </w:r>
    </w:p>
    <w:p w14:paraId="32447C49" w14:textId="77777777" w:rsidR="00015F88" w:rsidRPr="00A64A18" w:rsidRDefault="00015F88" w:rsidP="00015F88">
      <w:pPr>
        <w:pStyle w:val="legclearfix"/>
        <w:shd w:val="clear" w:color="auto" w:fill="FFFFFF"/>
        <w:spacing w:line="360" w:lineRule="auto"/>
        <w:ind w:left="1134"/>
        <w:jc w:val="both"/>
        <w:rPr>
          <w:rStyle w:val="legds"/>
          <w:rFonts w:asciiTheme="majorHAnsi" w:hAnsiTheme="majorHAnsi" w:cstheme="majorHAnsi"/>
          <w:i/>
          <w:color w:val="000000" w:themeColor="text1"/>
        </w:rPr>
      </w:pPr>
      <w:r w:rsidRPr="00A64A18">
        <w:rPr>
          <w:rStyle w:val="legds"/>
          <w:rFonts w:asciiTheme="majorHAnsi" w:hAnsiTheme="majorHAnsi" w:cstheme="majorHAnsi"/>
          <w:i/>
          <w:color w:val="000000" w:themeColor="text1"/>
        </w:rPr>
        <w:t xml:space="preserve">There are 2 exceptions to this rule, Last Resort Deductions (arrears of housing and fuel) and ongoing monthly costs for utilities (gas, </w:t>
      </w:r>
      <w:proofErr w:type="gramStart"/>
      <w:r w:rsidRPr="00A64A18">
        <w:rPr>
          <w:rStyle w:val="legds"/>
          <w:rFonts w:asciiTheme="majorHAnsi" w:hAnsiTheme="majorHAnsi" w:cstheme="majorHAnsi"/>
          <w:i/>
          <w:color w:val="000000" w:themeColor="text1"/>
        </w:rPr>
        <w:t>electricity</w:t>
      </w:r>
      <w:proofErr w:type="gramEnd"/>
      <w:r w:rsidRPr="00A64A18">
        <w:rPr>
          <w:rStyle w:val="legds"/>
          <w:rFonts w:asciiTheme="majorHAnsi" w:hAnsiTheme="majorHAnsi" w:cstheme="majorHAnsi"/>
          <w:i/>
          <w:color w:val="000000" w:themeColor="text1"/>
        </w:rPr>
        <w:t xml:space="preserve"> and water) where there are also arrears being taken for them.</w:t>
      </w:r>
    </w:p>
    <w:p w14:paraId="0860BEFC" w14:textId="77777777" w:rsidR="00015F88" w:rsidRPr="00A64A18" w:rsidRDefault="00015F88" w:rsidP="003B447C">
      <w:pPr>
        <w:pStyle w:val="ListParagraph"/>
        <w:numPr>
          <w:ilvl w:val="0"/>
          <w:numId w:val="5"/>
        </w:numPr>
        <w:shd w:val="clear" w:color="auto" w:fill="FFFFFF"/>
        <w:spacing w:before="100" w:beforeAutospacing="1" w:after="120" w:afterAutospacing="1" w:line="360" w:lineRule="auto"/>
        <w:contextualSpacing w:val="0"/>
        <w:jc w:val="both"/>
        <w:rPr>
          <w:rFonts w:asciiTheme="majorHAnsi" w:hAnsiTheme="majorHAnsi" w:cstheme="majorHAnsi"/>
          <w:iCs/>
          <w:color w:val="000000" w:themeColor="text1"/>
          <w:sz w:val="24"/>
          <w:szCs w:val="24"/>
        </w:rPr>
      </w:pPr>
      <w:r w:rsidRPr="00A64A18">
        <w:rPr>
          <w:rFonts w:asciiTheme="majorHAnsi" w:hAnsiTheme="majorHAnsi" w:cstheme="majorHAnsi"/>
          <w:iCs/>
          <w:color w:val="000000" w:themeColor="text1"/>
          <w:sz w:val="24"/>
          <w:szCs w:val="24"/>
        </w:rPr>
        <w:t xml:space="preserve">From 12 April 2021 this 30% reduced to 25% in line with the March 2021 Budget announcement: </w:t>
      </w:r>
    </w:p>
    <w:p w14:paraId="028B8173" w14:textId="77777777" w:rsidR="00015F88" w:rsidRPr="00A64A18" w:rsidRDefault="00015F88" w:rsidP="00015F88">
      <w:pPr>
        <w:pStyle w:val="legclearfix"/>
        <w:shd w:val="clear" w:color="auto" w:fill="FFFFFF"/>
        <w:spacing w:after="120" w:line="360" w:lineRule="auto"/>
        <w:ind w:left="1134"/>
        <w:jc w:val="both"/>
        <w:rPr>
          <w:rFonts w:asciiTheme="majorHAnsi" w:hAnsiTheme="majorHAnsi" w:cstheme="majorHAnsi"/>
          <w:iCs/>
          <w:color w:val="000000" w:themeColor="text1"/>
        </w:rPr>
      </w:pPr>
      <w:r w:rsidRPr="00A64A18">
        <w:rPr>
          <w:rFonts w:asciiTheme="majorHAnsi" w:hAnsiTheme="majorHAnsi" w:cstheme="majorHAnsi"/>
          <w:i/>
          <w:iCs/>
          <w:color w:val="000000" w:themeColor="text1"/>
        </w:rPr>
        <w:t xml:space="preserve">"From next month </w:t>
      </w:r>
      <w:r w:rsidRPr="00A64A18">
        <w:rPr>
          <w:rFonts w:asciiTheme="majorHAnsi" w:hAnsiTheme="majorHAnsi" w:cstheme="majorHAnsi"/>
          <w:iCs/>
          <w:color w:val="000000" w:themeColor="text1"/>
        </w:rPr>
        <w:t>[April 2021]</w:t>
      </w:r>
      <w:r w:rsidRPr="00A64A18">
        <w:rPr>
          <w:rFonts w:asciiTheme="majorHAnsi" w:hAnsiTheme="majorHAnsi" w:cstheme="majorHAnsi"/>
          <w:i/>
          <w:iCs/>
          <w:color w:val="000000" w:themeColor="text1"/>
        </w:rPr>
        <w:t xml:space="preserve"> new claimants will be able to spread Universal Credit advances repayments over a 24-month period and </w:t>
      </w:r>
      <w:r w:rsidRPr="00A64A18">
        <w:rPr>
          <w:rFonts w:asciiTheme="majorHAnsi" w:hAnsiTheme="majorHAnsi" w:cstheme="majorHAnsi"/>
          <w:b/>
          <w:i/>
          <w:iCs/>
          <w:color w:val="000000" w:themeColor="text1"/>
        </w:rPr>
        <w:t xml:space="preserve">the maximum rate of deductions from Universal Credit will be reduced for all to 25%. </w:t>
      </w:r>
      <w:r w:rsidRPr="00A64A18">
        <w:rPr>
          <w:rFonts w:asciiTheme="majorHAnsi" w:hAnsiTheme="majorHAnsi" w:cstheme="majorHAnsi"/>
          <w:i/>
          <w:iCs/>
          <w:color w:val="000000" w:themeColor="text1"/>
        </w:rPr>
        <w:t>Reducing the maximum deduction rate to 25% of a claimant’s standard allowance will allow more than 350,000 families with significant debts to retain more of their monthly award for their day-to-day needs.</w:t>
      </w:r>
      <w:r w:rsidRPr="00A64A18">
        <w:rPr>
          <w:rFonts w:asciiTheme="majorHAnsi" w:hAnsiTheme="majorHAnsi" w:cstheme="majorHAnsi"/>
          <w:iCs/>
          <w:color w:val="000000" w:themeColor="text1"/>
        </w:rPr>
        <w:t>"</w:t>
      </w:r>
      <w:r w:rsidRPr="00A64A18">
        <w:rPr>
          <w:rStyle w:val="FootnoteReference"/>
          <w:rFonts w:asciiTheme="majorHAnsi" w:hAnsiTheme="majorHAnsi" w:cstheme="majorHAnsi"/>
          <w:iCs/>
          <w:color w:val="000000" w:themeColor="text1"/>
        </w:rPr>
        <w:footnoteReference w:id="5"/>
      </w:r>
    </w:p>
    <w:p w14:paraId="205B8C23" w14:textId="77777777" w:rsidR="00015F88" w:rsidRPr="00A64A18" w:rsidRDefault="00015F88" w:rsidP="00015F88">
      <w:pPr>
        <w:pStyle w:val="legclearfix"/>
        <w:shd w:val="clear" w:color="auto" w:fill="FFFFFF"/>
        <w:spacing w:after="120" w:line="360" w:lineRule="auto"/>
        <w:ind w:left="567"/>
        <w:jc w:val="right"/>
        <w:rPr>
          <w:rFonts w:asciiTheme="majorHAnsi" w:hAnsiTheme="majorHAnsi" w:cstheme="majorHAnsi"/>
          <w:iCs/>
          <w:color w:val="000000" w:themeColor="text1"/>
        </w:rPr>
      </w:pPr>
      <w:r w:rsidRPr="00A64A18">
        <w:rPr>
          <w:rFonts w:asciiTheme="majorHAnsi" w:hAnsiTheme="majorHAnsi" w:cstheme="majorHAnsi"/>
          <w:iCs/>
          <w:color w:val="000000" w:themeColor="text1"/>
        </w:rPr>
        <w:t>(Emphasis added)</w:t>
      </w:r>
    </w:p>
    <w:p w14:paraId="731BEFAE" w14:textId="77777777" w:rsidR="00015F88" w:rsidRPr="00A64A18" w:rsidRDefault="00015F88" w:rsidP="003B447C">
      <w:pPr>
        <w:pStyle w:val="legclearfix"/>
        <w:numPr>
          <w:ilvl w:val="0"/>
          <w:numId w:val="5"/>
        </w:numPr>
        <w:shd w:val="clear" w:color="auto" w:fill="FFFFFF"/>
        <w:spacing w:after="120" w:line="360" w:lineRule="auto"/>
        <w:jc w:val="both"/>
        <w:rPr>
          <w:rFonts w:asciiTheme="majorHAnsi" w:hAnsiTheme="majorHAnsi" w:cstheme="majorHAnsi"/>
          <w:iCs/>
          <w:color w:val="000000" w:themeColor="text1"/>
        </w:rPr>
      </w:pPr>
      <w:r w:rsidRPr="00A64A18">
        <w:rPr>
          <w:rFonts w:asciiTheme="majorHAnsi" w:hAnsiTheme="majorHAnsi" w:cstheme="majorHAnsi"/>
          <w:iCs/>
          <w:color w:val="000000" w:themeColor="text1"/>
        </w:rPr>
        <w:t xml:space="preserve">D’s policy is that up to a </w:t>
      </w:r>
      <w:r w:rsidRPr="00A64A18">
        <w:rPr>
          <w:rFonts w:asciiTheme="majorHAnsi" w:hAnsiTheme="majorHAnsi" w:cstheme="majorHAnsi"/>
          <w:i/>
          <w:iCs/>
          <w:color w:val="000000" w:themeColor="text1"/>
        </w:rPr>
        <w:t xml:space="preserve">maximum </w:t>
      </w:r>
      <w:r w:rsidRPr="00A64A18">
        <w:rPr>
          <w:rFonts w:asciiTheme="majorHAnsi" w:hAnsiTheme="majorHAnsi" w:cstheme="majorHAnsi"/>
          <w:iCs/>
          <w:color w:val="000000" w:themeColor="text1"/>
        </w:rPr>
        <w:t xml:space="preserve">of 25% of claimant’s UC standard allowance may be deducted, no minimum total deduction is set, so less than 25% in total may also be deducted. </w:t>
      </w:r>
    </w:p>
    <w:p w14:paraId="11C6E5AB" w14:textId="77777777" w:rsidR="00015F88" w:rsidRPr="00A64A18" w:rsidRDefault="00015F88" w:rsidP="00015F88">
      <w:p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Grounds for Judicial Review: Operation of a blanket policy / fettering discretion and failure to take relevant facts into account</w:t>
      </w:r>
    </w:p>
    <w:p w14:paraId="1665838D" w14:textId="77777777" w:rsidR="00015F88" w:rsidRPr="00A64A18" w:rsidRDefault="00015F88" w:rsidP="003B447C">
      <w:pPr>
        <w:pStyle w:val="legclearfix"/>
        <w:numPr>
          <w:ilvl w:val="0"/>
          <w:numId w:val="5"/>
        </w:numPr>
        <w:shd w:val="clear" w:color="auto" w:fill="FFFFFF"/>
        <w:spacing w:after="120" w:line="360" w:lineRule="auto"/>
        <w:jc w:val="both"/>
        <w:rPr>
          <w:rFonts w:asciiTheme="majorHAnsi" w:hAnsiTheme="majorHAnsi" w:cstheme="majorHAnsi"/>
          <w:iCs/>
          <w:color w:val="000000" w:themeColor="text1"/>
        </w:rPr>
      </w:pPr>
      <w:r w:rsidRPr="00A64A18">
        <w:rPr>
          <w:rFonts w:asciiTheme="majorHAnsi" w:hAnsiTheme="majorHAnsi" w:cstheme="majorHAnsi"/>
          <w:iCs/>
          <w:color w:val="000000" w:themeColor="text1"/>
        </w:rPr>
        <w:t>In C’s case, neither C’s Advances nor C’s</w:t>
      </w:r>
      <w:r w:rsidR="00FB25E8" w:rsidRPr="00A64A18">
        <w:rPr>
          <w:rFonts w:asciiTheme="majorHAnsi" w:hAnsiTheme="majorHAnsi" w:cstheme="majorHAnsi"/>
          <w:iCs/>
          <w:color w:val="000000" w:themeColor="text1"/>
        </w:rPr>
        <w:t xml:space="preserve"> tax c</w:t>
      </w:r>
      <w:r w:rsidRPr="00A64A18">
        <w:rPr>
          <w:rFonts w:asciiTheme="majorHAnsi" w:hAnsiTheme="majorHAnsi" w:cstheme="majorHAnsi"/>
          <w:iCs/>
          <w:color w:val="000000" w:themeColor="text1"/>
        </w:rPr>
        <w:t xml:space="preserve">redit overpayment are being deducted at the maximum 25% of C’s standard allowance, rather both have been adjusted such that the total deduction from C’s UC is 25% in line with D’s policy (demonstrating that it is possible for deductions lower than the maximums set by </w:t>
      </w:r>
      <w:r w:rsidRPr="00A64A18">
        <w:rPr>
          <w:rFonts w:asciiTheme="majorHAnsi" w:hAnsiTheme="majorHAnsi" w:cstheme="majorHAnsi"/>
          <w:highlight w:val="white"/>
        </w:rPr>
        <w:t>reg. 11 SS (OR) Regs</w:t>
      </w:r>
      <w:r w:rsidRPr="00A64A18">
        <w:rPr>
          <w:rFonts w:asciiTheme="majorHAnsi" w:hAnsiTheme="majorHAnsi" w:cstheme="majorHAnsi"/>
        </w:rPr>
        <w:t xml:space="preserve"> to be made).</w:t>
      </w:r>
    </w:p>
    <w:p w14:paraId="4F747510" w14:textId="77777777" w:rsidR="00015F88" w:rsidRPr="00A64A18" w:rsidRDefault="00015F88" w:rsidP="003B447C">
      <w:pPr>
        <w:pStyle w:val="legclearfix"/>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right="-144"/>
        <w:jc w:val="both"/>
        <w:rPr>
          <w:rFonts w:asciiTheme="majorHAnsi" w:hAnsiTheme="majorHAnsi" w:cstheme="majorHAnsi"/>
        </w:rPr>
      </w:pPr>
      <w:r w:rsidRPr="00A64A18">
        <w:rPr>
          <w:rFonts w:asciiTheme="majorHAnsi" w:hAnsiTheme="majorHAnsi" w:cstheme="majorHAnsi"/>
        </w:rPr>
        <w:lastRenderedPageBreak/>
        <w:t xml:space="preserve">However, D appears to be operating a blanket policy to either deduct amounts which total the maximum 25% in every case, and/or not to exercise discretion where a level of deduction for an Advance has previously been agreed by the claimant. </w:t>
      </w:r>
    </w:p>
    <w:p w14:paraId="41BBD389"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hAnsiTheme="majorHAnsi" w:cstheme="majorHAnsi"/>
          <w:sz w:val="24"/>
          <w:szCs w:val="24"/>
        </w:rPr>
        <w:t>Thus D appears to have limited the criteria she has used to reach her decision not to reduce the level of deductions from C’s UC to ‘whether the maximum level of permissible deductions has been reached’ and/or whether the deduction for an Advance is being made at the rate the claimant agreed to when the Advance was taken out, irrespective of any change of circumstances a claimant may have experienced in the intervening period.</w:t>
      </w:r>
    </w:p>
    <w:p w14:paraId="5DAEF7C0"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hAnsiTheme="majorHAnsi" w:cstheme="majorHAnsi"/>
          <w:sz w:val="24"/>
          <w:szCs w:val="24"/>
        </w:rPr>
        <w:t xml:space="preserve">In doing so D has fettered the discretion available to her. It is unlawful to operate a ‘blanket policy’ when a discretion is available, each case must be considered on its individual merits.  In </w:t>
      </w:r>
      <w:r w:rsidRPr="00A64A18">
        <w:rPr>
          <w:rFonts w:asciiTheme="majorHAnsi" w:hAnsiTheme="majorHAnsi" w:cstheme="majorHAnsi"/>
          <w:i/>
          <w:sz w:val="24"/>
          <w:szCs w:val="24"/>
          <w:u w:val="single"/>
        </w:rPr>
        <w:t xml:space="preserve">R (S) v Secretary of State for the Home Department </w:t>
      </w:r>
      <w:r w:rsidRPr="00A64A18">
        <w:rPr>
          <w:rFonts w:asciiTheme="majorHAnsi" w:hAnsiTheme="majorHAnsi" w:cstheme="majorHAnsi"/>
          <w:sz w:val="24"/>
          <w:szCs w:val="24"/>
        </w:rPr>
        <w:t xml:space="preserve">[2007] </w:t>
      </w:r>
      <w:proofErr w:type="spellStart"/>
      <w:r w:rsidRPr="00A64A18">
        <w:rPr>
          <w:rFonts w:asciiTheme="majorHAnsi" w:hAnsiTheme="majorHAnsi" w:cstheme="majorHAnsi"/>
          <w:sz w:val="24"/>
          <w:szCs w:val="24"/>
        </w:rPr>
        <w:t>EWCA</w:t>
      </w:r>
      <w:proofErr w:type="spellEnd"/>
      <w:r w:rsidRPr="00A64A18">
        <w:rPr>
          <w:rFonts w:asciiTheme="majorHAnsi" w:hAnsiTheme="majorHAnsi" w:cstheme="majorHAnsi"/>
          <w:sz w:val="24"/>
          <w:szCs w:val="24"/>
        </w:rPr>
        <w:t xml:space="preserve"> </w:t>
      </w:r>
      <w:proofErr w:type="spellStart"/>
      <w:r w:rsidRPr="00A64A18">
        <w:rPr>
          <w:rFonts w:asciiTheme="majorHAnsi" w:hAnsiTheme="majorHAnsi" w:cstheme="majorHAnsi"/>
          <w:sz w:val="24"/>
          <w:szCs w:val="24"/>
        </w:rPr>
        <w:t>Civ</w:t>
      </w:r>
      <w:proofErr w:type="spellEnd"/>
      <w:r w:rsidRPr="00A64A18">
        <w:rPr>
          <w:rFonts w:asciiTheme="majorHAnsi" w:hAnsiTheme="majorHAnsi" w:cstheme="majorHAnsi"/>
          <w:sz w:val="24"/>
          <w:szCs w:val="24"/>
        </w:rPr>
        <w:t xml:space="preserve"> 546 the Court of Appeal summarised this principle when it stated:</w:t>
      </w:r>
    </w:p>
    <w:p w14:paraId="1C635772" w14:textId="77777777" w:rsidR="00015F88" w:rsidRPr="00A64A18" w:rsidRDefault="00015F88" w:rsidP="00015F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right="-144"/>
        <w:jc w:val="both"/>
        <w:rPr>
          <w:rFonts w:asciiTheme="majorHAnsi" w:hAnsiTheme="majorHAnsi" w:cstheme="majorHAnsi"/>
          <w:sz w:val="24"/>
          <w:szCs w:val="24"/>
        </w:rPr>
      </w:pPr>
    </w:p>
    <w:p w14:paraId="2A1E69F6" w14:textId="77777777" w:rsidR="00015F88" w:rsidRPr="00A64A18" w:rsidRDefault="00015F88" w:rsidP="00015F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34" w:right="-144"/>
        <w:jc w:val="both"/>
        <w:rPr>
          <w:rFonts w:asciiTheme="majorHAnsi" w:hAnsiTheme="majorHAnsi" w:cstheme="majorHAnsi"/>
          <w:i/>
          <w:sz w:val="24"/>
          <w:szCs w:val="24"/>
        </w:rPr>
      </w:pPr>
      <w:r w:rsidRPr="00A64A18">
        <w:rPr>
          <w:rFonts w:asciiTheme="majorHAnsi" w:hAnsiTheme="majorHAnsi" w:cstheme="majorHAnsi"/>
          <w:i/>
          <w:sz w:val="24"/>
          <w:szCs w:val="24"/>
        </w:rPr>
        <w:t>“[a] public authority may not adopt a policy which precludes it from considering individual cases on their merits”.</w:t>
      </w:r>
    </w:p>
    <w:p w14:paraId="6BD3C906" w14:textId="77777777" w:rsidR="00015F88" w:rsidRPr="00A64A18" w:rsidRDefault="00015F88" w:rsidP="00015F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34" w:right="-144"/>
        <w:jc w:val="both"/>
        <w:rPr>
          <w:rFonts w:asciiTheme="majorHAnsi" w:hAnsiTheme="majorHAnsi" w:cstheme="majorHAnsi"/>
          <w:i/>
          <w:sz w:val="24"/>
          <w:szCs w:val="24"/>
        </w:rPr>
      </w:pPr>
    </w:p>
    <w:p w14:paraId="36D3D009"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There is no legal reason that prevents D from reducing C’s deductions further. Indeed, the Regulations deliberately provide a discretion to reduce the deductions by setting a maximum deduction, as opposed to a fixed amount.</w:t>
      </w:r>
    </w:p>
    <w:p w14:paraId="76E0AFA0"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rPr>
        <w:t xml:space="preserve">Further, the clear purpose of imposing a 25% total limit on recovery is to avoid a situation where a claimant is left with less money than they need to live. In C’s case </w:t>
      </w:r>
      <w:proofErr w:type="gramStart"/>
      <w:r w:rsidRPr="00A64A18">
        <w:rPr>
          <w:rFonts w:asciiTheme="majorHAnsi" w:eastAsia="Times New Roman" w:hAnsiTheme="majorHAnsi" w:cstheme="majorHAnsi"/>
          <w:sz w:val="24"/>
          <w:szCs w:val="24"/>
        </w:rPr>
        <w:t>it is clear that this</w:t>
      </w:r>
      <w:proofErr w:type="gramEnd"/>
      <w:r w:rsidRPr="00A64A18">
        <w:rPr>
          <w:rFonts w:asciiTheme="majorHAnsi" w:eastAsia="Times New Roman" w:hAnsiTheme="majorHAnsi" w:cstheme="majorHAnsi"/>
          <w:sz w:val="24"/>
          <w:szCs w:val="24"/>
        </w:rPr>
        <w:t xml:space="preserve"> purpose has not been achieved, yet this has not been taken into account.   </w:t>
      </w:r>
    </w:p>
    <w:p w14:paraId="24BE7C78" w14:textId="77777777" w:rsidR="00015F88" w:rsidRPr="00A64A18" w:rsidRDefault="00015F88" w:rsidP="003B447C">
      <w:pPr>
        <w:pStyle w:val="ListParagraph"/>
        <w:numPr>
          <w:ilvl w:val="0"/>
          <w:numId w:val="5"/>
        </w:numPr>
        <w:jc w:val="both"/>
        <w:rPr>
          <w:rFonts w:asciiTheme="majorHAnsi" w:eastAsia="Times New Roman" w:hAnsiTheme="majorHAnsi" w:cstheme="majorHAnsi"/>
          <w:sz w:val="24"/>
          <w:szCs w:val="24"/>
        </w:rPr>
      </w:pPr>
      <w:r w:rsidRPr="00A64A18">
        <w:rPr>
          <w:rFonts w:asciiTheme="majorHAnsi" w:eastAsia="Times New Roman" w:hAnsiTheme="majorHAnsi" w:cstheme="majorHAnsi"/>
          <w:sz w:val="24"/>
          <w:szCs w:val="24"/>
        </w:rPr>
        <w:t xml:space="preserve">The fact that C has agreed a stricter repayment schedule is irrelevant.  If the legislation permits discretion, D has a duty to exercise that discretion and that duty supersedes any previous agreement with C. This is particularly important in cases where a claimant’s situation changes </w:t>
      </w:r>
      <w:r w:rsidRPr="00A64A18">
        <w:rPr>
          <w:rFonts w:asciiTheme="majorHAnsi" w:eastAsia="Times New Roman" w:hAnsiTheme="majorHAnsi" w:cstheme="majorHAnsi"/>
          <w:i/>
          <w:sz w:val="24"/>
          <w:szCs w:val="24"/>
        </w:rPr>
        <w:t xml:space="preserve">after </w:t>
      </w:r>
      <w:r w:rsidRPr="00A64A18">
        <w:rPr>
          <w:rFonts w:asciiTheme="majorHAnsi" w:eastAsia="Times New Roman" w:hAnsiTheme="majorHAnsi" w:cstheme="majorHAnsi"/>
          <w:sz w:val="24"/>
          <w:szCs w:val="24"/>
        </w:rPr>
        <w:t>they have agreed a repayment schedule. D should clearly in cases such as that be prepared to revisit the situation. However, other examples such as where a claimant has simply miscalculated what they would be able to pay may arise. To insist in all circumstances that a claimant be bound by their acceptance of a repayment schedule is unlawful.</w:t>
      </w:r>
    </w:p>
    <w:p w14:paraId="3AB9DE70"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Yet, there is no evidence that D has considered whether C’s circumstances amount to a level of financial hardship which would justify a reduction in the total rate of the deduction from her UC. </w:t>
      </w:r>
    </w:p>
    <w:p w14:paraId="0797362C" w14:textId="77777777" w:rsidR="00015F88" w:rsidRPr="00A64A18" w:rsidRDefault="00015F88" w:rsidP="003B447C">
      <w:pPr>
        <w:pStyle w:val="ListParagraph"/>
        <w:numPr>
          <w:ilvl w:val="0"/>
          <w:numId w:val="5"/>
        </w:numPr>
        <w:pBdr>
          <w:top w:val="none" w:sz="0" w:space="5" w:color="auto"/>
          <w:bottom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In failing to take account of C’s circumstances, and making the decision not to reduce the total deduction below 25% solely on the basis of whether a) the deduction is at the rate C previously </w:t>
      </w:r>
      <w:r w:rsidRPr="00A64A18">
        <w:rPr>
          <w:rFonts w:asciiTheme="majorHAnsi" w:eastAsia="Times New Roman" w:hAnsiTheme="majorHAnsi" w:cstheme="majorHAnsi"/>
          <w:sz w:val="24"/>
          <w:szCs w:val="24"/>
          <w:highlight w:val="white"/>
        </w:rPr>
        <w:lastRenderedPageBreak/>
        <w:t>agreed to and/or b) C’s total deductions are made at the maximum 25% permitted, D has failed to take the relevant facts of C’s circumstances and D’s own policy purpose into account, which renders the refusal to exercise its discretion to reduce the total rate of total deduction below 25%, or to reduce the rate of recovery of C’s Advance at all, unlawful.</w:t>
      </w:r>
    </w:p>
    <w:p w14:paraId="4F05F466" w14:textId="77777777" w:rsidR="00015F88" w:rsidRPr="00A64A18" w:rsidRDefault="00015F88" w:rsidP="00015F88">
      <w:p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327DD2A9" w14:textId="77777777" w:rsidR="00015F88" w:rsidRPr="00A64A18" w:rsidRDefault="00015F88" w:rsidP="00015F88">
      <w:p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The Defendant is requested to:</w:t>
      </w:r>
    </w:p>
    <w:p w14:paraId="20075C90" w14:textId="77777777" w:rsidR="00015F88" w:rsidRPr="00A64A18" w:rsidRDefault="00015F88" w:rsidP="00015F88">
      <w:p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5576B882" w14:textId="77777777" w:rsidR="00015F88" w:rsidRPr="00A64A18" w:rsidRDefault="00015F88" w:rsidP="00015F88">
      <w:pPr>
        <w:pStyle w:val="ListParagraph"/>
        <w:numPr>
          <w:ilvl w:val="0"/>
          <w:numId w:val="2"/>
        </w:num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Exercise her discretion to reduce the amount of the deduction from C’s UC for C’s Advance payments to [%] of C’s standard allowance</w:t>
      </w:r>
    </w:p>
    <w:p w14:paraId="469135E8" w14:textId="77777777" w:rsidR="00015F88" w:rsidRPr="00A64A18" w:rsidRDefault="00015F88" w:rsidP="00015F88">
      <w:pPr>
        <w:pStyle w:val="ListParagraph"/>
        <w:numPr>
          <w:ilvl w:val="0"/>
          <w:numId w:val="2"/>
        </w:num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Continue to exercise its discretion in respect of C’s tax credit overpayment to continue to make a deduction of [AMOUNT] calendar month.</w:t>
      </w:r>
    </w:p>
    <w:p w14:paraId="4BCDE796" w14:textId="77777777" w:rsidR="00015F88" w:rsidRPr="00A64A18" w:rsidRDefault="00015F88" w:rsidP="00015F88">
      <w:pPr>
        <w:pStyle w:val="ListParagraph"/>
        <w:numPr>
          <w:ilvl w:val="0"/>
          <w:numId w:val="2"/>
        </w:numPr>
        <w:pBdr>
          <w:left w:val="none" w:sz="0" w:space="28"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Ensure proper training of decision makers as to the guidance on reducing deduction rates and the importance of having regard to individual circumstances and financial hardship when considering a request for such a deduction.</w:t>
      </w:r>
    </w:p>
    <w:p w14:paraId="353A4B52" w14:textId="77777777" w:rsidR="00015F88" w:rsidRPr="00A64A18" w:rsidRDefault="00015F88" w:rsidP="00015F88">
      <w:pPr>
        <w:shd w:val="clear" w:color="auto" w:fill="FFFFFF"/>
        <w:tabs>
          <w:tab w:val="left" w:pos="3330"/>
        </w:tabs>
        <w:spacing w:after="0" w:line="360" w:lineRule="auto"/>
        <w:ind w:left="1140"/>
        <w:jc w:val="both"/>
        <w:rPr>
          <w:rFonts w:asciiTheme="majorHAnsi" w:eastAsia="Times New Roman" w:hAnsiTheme="majorHAnsi" w:cstheme="majorHAnsi"/>
          <w:sz w:val="24"/>
          <w:szCs w:val="24"/>
          <w:highlight w:val="white"/>
        </w:rPr>
      </w:pPr>
    </w:p>
    <w:p w14:paraId="18685CDD"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The details of documents that are considered relevant and necessary</w:t>
      </w:r>
    </w:p>
    <w:p w14:paraId="76BF361D" w14:textId="77777777" w:rsidR="00015F88" w:rsidRPr="00A64A18" w:rsidRDefault="00015F88" w:rsidP="00015F88">
      <w:pPr>
        <w:pStyle w:val="ListParagraph"/>
        <w:numPr>
          <w:ilvl w:val="0"/>
          <w:numId w:val="3"/>
        </w:numPr>
        <w:pBdr>
          <w:top w:val="none" w:sz="0" w:space="6" w:color="auto"/>
        </w:pBdr>
        <w:shd w:val="clear" w:color="auto" w:fill="FFFFFF"/>
        <w:tabs>
          <w:tab w:val="left" w:pos="3330"/>
        </w:tabs>
        <w:spacing w:after="0" w:line="360" w:lineRule="auto"/>
        <w:ind w:left="851"/>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Claimant’s signed authority</w:t>
      </w:r>
    </w:p>
    <w:p w14:paraId="208C00B5" w14:textId="77777777" w:rsidR="00015F88" w:rsidRPr="00A64A18" w:rsidRDefault="00015F88" w:rsidP="00015F88">
      <w:pPr>
        <w:pStyle w:val="ListParagraph"/>
        <w:numPr>
          <w:ilvl w:val="0"/>
          <w:numId w:val="3"/>
        </w:numPr>
        <w:pBdr>
          <w:top w:val="none" w:sz="0" w:space="6" w:color="auto"/>
        </w:pBdr>
        <w:shd w:val="clear" w:color="auto" w:fill="FFFFFF"/>
        <w:tabs>
          <w:tab w:val="left" w:pos="3330"/>
        </w:tabs>
        <w:spacing w:after="0" w:line="360" w:lineRule="auto"/>
        <w:ind w:left="851"/>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All other documents available through C’s Universal Credit online account (Journal and Claimant Commitment).</w:t>
      </w:r>
    </w:p>
    <w:p w14:paraId="3603D122"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ADR proposals</w:t>
      </w:r>
    </w:p>
    <w:p w14:paraId="4B7AD3BA"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Please confirm in your reply whether D is willing to consider alternative dispute resolution. </w:t>
      </w:r>
    </w:p>
    <w:p w14:paraId="42196042"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628EAE13"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The address for reply and service of court documents</w:t>
      </w:r>
    </w:p>
    <w:p w14:paraId="16B8F089"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color w:val="FF0000"/>
          <w:sz w:val="24"/>
          <w:szCs w:val="24"/>
          <w:highlight w:val="white"/>
        </w:rPr>
      </w:pPr>
      <w:r w:rsidRPr="00A64A18">
        <w:rPr>
          <w:rFonts w:asciiTheme="majorHAnsi" w:eastAsia="Times New Roman" w:hAnsiTheme="majorHAnsi" w:cstheme="majorHAnsi"/>
          <w:color w:val="FF0000"/>
          <w:sz w:val="24"/>
          <w:szCs w:val="24"/>
          <w:highlight w:val="white"/>
        </w:rPr>
        <w:t xml:space="preserve">Advice agency name, </w:t>
      </w:r>
      <w:proofErr w:type="gramStart"/>
      <w:r w:rsidRPr="00A64A18">
        <w:rPr>
          <w:rFonts w:asciiTheme="majorHAnsi" w:eastAsia="Times New Roman" w:hAnsiTheme="majorHAnsi" w:cstheme="majorHAnsi"/>
          <w:color w:val="FF0000"/>
          <w:sz w:val="24"/>
          <w:szCs w:val="24"/>
          <w:highlight w:val="white"/>
        </w:rPr>
        <w:t>address</w:t>
      </w:r>
      <w:proofErr w:type="gramEnd"/>
      <w:r w:rsidRPr="00A64A18">
        <w:rPr>
          <w:rFonts w:asciiTheme="majorHAnsi" w:eastAsia="Times New Roman" w:hAnsiTheme="majorHAnsi" w:cstheme="majorHAnsi"/>
          <w:color w:val="FF0000"/>
          <w:sz w:val="24"/>
          <w:szCs w:val="24"/>
          <w:highlight w:val="white"/>
        </w:rPr>
        <w:t xml:space="preserve"> and email</w:t>
      </w:r>
    </w:p>
    <w:p w14:paraId="4FF0853F"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p>
    <w:p w14:paraId="593494AE"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b/>
          <w:sz w:val="24"/>
          <w:szCs w:val="24"/>
          <w:highlight w:val="white"/>
        </w:rPr>
      </w:pPr>
      <w:r w:rsidRPr="00A64A18">
        <w:rPr>
          <w:rFonts w:asciiTheme="majorHAnsi" w:eastAsia="Times New Roman" w:hAnsiTheme="majorHAnsi" w:cstheme="majorHAnsi"/>
          <w:b/>
          <w:sz w:val="24"/>
          <w:szCs w:val="24"/>
          <w:highlight w:val="white"/>
        </w:rPr>
        <w:t>Proposed reply date</w:t>
      </w:r>
    </w:p>
    <w:p w14:paraId="5138CC66"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 xml:space="preserve">We expect a reply promptly and in any event no later than </w:t>
      </w:r>
      <w:r w:rsidRPr="00A64A18">
        <w:rPr>
          <w:rFonts w:asciiTheme="majorHAnsi" w:eastAsia="Times New Roman" w:hAnsiTheme="majorHAnsi" w:cstheme="majorHAnsi"/>
          <w:color w:val="FF0000"/>
          <w:sz w:val="24"/>
          <w:szCs w:val="24"/>
          <w:highlight w:val="white"/>
        </w:rPr>
        <w:t>DATE</w:t>
      </w:r>
      <w:r w:rsidRPr="00A64A18">
        <w:rPr>
          <w:rFonts w:asciiTheme="majorHAnsi" w:eastAsia="Times New Roman" w:hAnsiTheme="majorHAnsi" w:cstheme="majorHAnsi"/>
          <w:sz w:val="24"/>
          <w:szCs w:val="24"/>
          <w:highlight w:val="white"/>
        </w:rPr>
        <w:t xml:space="preserve"> (14 days). </w:t>
      </w:r>
    </w:p>
    <w:p w14:paraId="0B064232"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p>
    <w:p w14:paraId="0A26232D"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Should we not have received a reply by this time we will issue proceedings for judicial review without further notice to you.</w:t>
      </w:r>
    </w:p>
    <w:p w14:paraId="742032DC"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p>
    <w:p w14:paraId="124C26FF"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lastRenderedPageBreak/>
        <w:t>Yours faithfully</w:t>
      </w:r>
    </w:p>
    <w:p w14:paraId="0E80CEE5"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p>
    <w:p w14:paraId="7E8DDAE3" w14:textId="77777777" w:rsidR="00015F88" w:rsidRPr="00A64A18" w:rsidRDefault="00015F88" w:rsidP="00015F88">
      <w:pPr>
        <w:pBdr>
          <w:top w:val="none" w:sz="0" w:space="6" w:color="auto"/>
        </w:pBdr>
        <w:shd w:val="clear" w:color="auto" w:fill="FFFFFF"/>
        <w:tabs>
          <w:tab w:val="left" w:pos="3330"/>
        </w:tabs>
        <w:spacing w:after="0" w:line="360" w:lineRule="auto"/>
        <w:jc w:val="both"/>
        <w:rPr>
          <w:rFonts w:asciiTheme="majorHAnsi" w:eastAsia="Times New Roman" w:hAnsiTheme="majorHAnsi" w:cstheme="majorHAnsi"/>
          <w:sz w:val="24"/>
          <w:szCs w:val="24"/>
          <w:highlight w:val="white"/>
        </w:rPr>
      </w:pPr>
      <w:r w:rsidRPr="00A64A18">
        <w:rPr>
          <w:rFonts w:asciiTheme="majorHAnsi" w:eastAsia="Times New Roman" w:hAnsiTheme="majorHAnsi" w:cstheme="majorHAnsi"/>
          <w:sz w:val="24"/>
          <w:szCs w:val="24"/>
          <w:highlight w:val="white"/>
        </w:rPr>
        <w:t>Enc</w:t>
      </w:r>
    </w:p>
    <w:p w14:paraId="23134368" w14:textId="77777777" w:rsidR="00015F88" w:rsidRPr="00A64A18" w:rsidRDefault="00015F88" w:rsidP="00015F88">
      <w:pPr>
        <w:tabs>
          <w:tab w:val="left" w:pos="3330"/>
        </w:tabs>
        <w:spacing w:line="360" w:lineRule="auto"/>
        <w:rPr>
          <w:rFonts w:asciiTheme="majorHAnsi" w:eastAsia="Arial" w:hAnsiTheme="majorHAnsi" w:cstheme="majorHAnsi"/>
          <w:sz w:val="24"/>
          <w:szCs w:val="24"/>
        </w:rPr>
      </w:pPr>
    </w:p>
    <w:p w14:paraId="350DB9E2" w14:textId="77777777" w:rsidR="00C14910" w:rsidRPr="00A64A18" w:rsidRDefault="00C14910">
      <w:pPr>
        <w:rPr>
          <w:rFonts w:asciiTheme="majorHAnsi" w:hAnsiTheme="majorHAnsi" w:cstheme="majorHAnsi"/>
          <w:sz w:val="24"/>
          <w:szCs w:val="24"/>
        </w:rPr>
      </w:pPr>
    </w:p>
    <w:sectPr w:rsidR="00C14910" w:rsidRPr="00A64A18">
      <w:footerReference w:type="default" r:id="rId21"/>
      <w:headerReference w:type="first" r:id="rId22"/>
      <w:footerReference w:type="first" r:id="rId23"/>
      <w:pgSz w:w="11906" w:h="16838"/>
      <w:pgMar w:top="426" w:right="1080" w:bottom="1985" w:left="1080" w:header="42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BBE9" w14:textId="77777777" w:rsidR="00015F88" w:rsidRDefault="00015F88" w:rsidP="00015F88">
      <w:pPr>
        <w:spacing w:after="0" w:line="240" w:lineRule="auto"/>
      </w:pPr>
      <w:r>
        <w:separator/>
      </w:r>
    </w:p>
  </w:endnote>
  <w:endnote w:type="continuationSeparator" w:id="0">
    <w:p w14:paraId="1066B463" w14:textId="77777777" w:rsidR="00015F88" w:rsidRDefault="00015F88" w:rsidP="0001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914D" w14:textId="77777777" w:rsidR="004B1127" w:rsidRDefault="00FB25E8">
    <w:pPr>
      <w:pBdr>
        <w:top w:val="nil"/>
        <w:left w:val="nil"/>
        <w:bottom w:val="nil"/>
        <w:right w:val="nil"/>
        <w:between w:val="nil"/>
      </w:pBdr>
      <w:tabs>
        <w:tab w:val="center" w:pos="4153"/>
        <w:tab w:val="right" w:pos="8306"/>
        <w:tab w:val="center" w:pos="5386"/>
        <w:tab w:val="right" w:pos="10772"/>
      </w:tabs>
      <w:rPr>
        <w:b/>
        <w:color w:val="000000"/>
      </w:rPr>
    </w:pPr>
    <w:r>
      <w:rPr>
        <w:b/>
        <w:color w:val="000000"/>
      </w:rPr>
      <w:tab/>
    </w:r>
    <w:r>
      <w:rPr>
        <w:b/>
        <w:color w:val="000000"/>
      </w:rPr>
      <w:tab/>
    </w:r>
  </w:p>
  <w:p w14:paraId="1AFE123D" w14:textId="77777777" w:rsidR="004B1127" w:rsidRDefault="004B1127">
    <w:pPr>
      <w:pBdr>
        <w:top w:val="nil"/>
        <w:left w:val="nil"/>
        <w:bottom w:val="nil"/>
        <w:right w:val="nil"/>
        <w:between w:val="nil"/>
      </w:pBdr>
      <w:tabs>
        <w:tab w:val="center" w:pos="4153"/>
        <w:tab w:val="right" w:pos="8306"/>
        <w:tab w:val="center" w:pos="5386"/>
        <w:tab w:val="right" w:pos="10772"/>
      </w:tabs>
      <w:rPr>
        <w:b/>
        <w:color w:val="000000"/>
      </w:rPr>
    </w:pPr>
  </w:p>
  <w:p w14:paraId="200E6AC8" w14:textId="77777777" w:rsidR="004B1127" w:rsidRDefault="004B1127">
    <w:pPr>
      <w:pBdr>
        <w:top w:val="nil"/>
        <w:left w:val="nil"/>
        <w:bottom w:val="nil"/>
        <w:right w:val="nil"/>
        <w:between w:val="nil"/>
      </w:pBdr>
      <w:tabs>
        <w:tab w:val="center" w:pos="4153"/>
        <w:tab w:val="right" w:pos="8306"/>
        <w:tab w:val="center" w:pos="5386"/>
        <w:tab w:val="right" w:pos="10772"/>
      </w:tabs>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3B44" w14:textId="77777777" w:rsidR="004B1127" w:rsidRDefault="004B1127">
    <w:pPr>
      <w:widowControl w:val="0"/>
      <w:pBdr>
        <w:top w:val="nil"/>
        <w:left w:val="nil"/>
        <w:bottom w:val="nil"/>
        <w:right w:val="nil"/>
        <w:between w:val="nil"/>
      </w:pBdr>
      <w:spacing w:after="0"/>
      <w:rPr>
        <w:b/>
      </w:rPr>
    </w:pPr>
  </w:p>
  <w:p w14:paraId="55777A71" w14:textId="77777777" w:rsidR="004B1127" w:rsidRDefault="004B1127">
    <w:pPr>
      <w:widowControl w:val="0"/>
      <w:pBdr>
        <w:top w:val="nil"/>
        <w:left w:val="nil"/>
        <w:bottom w:val="nil"/>
        <w:right w:val="nil"/>
        <w:between w:val="nil"/>
      </w:pBdr>
      <w:spacing w:after="0"/>
      <w:rPr>
        <w:b/>
      </w:rPr>
    </w:pPr>
  </w:p>
  <w:tbl>
    <w:tblPr>
      <w:tblW w:w="9782" w:type="dxa"/>
      <w:jc w:val="center"/>
      <w:tblBorders>
        <w:top w:val="nil"/>
        <w:left w:val="nil"/>
        <w:bottom w:val="nil"/>
        <w:right w:val="nil"/>
        <w:insideH w:val="nil"/>
        <w:insideV w:val="nil"/>
      </w:tblBorders>
      <w:tblLayout w:type="fixed"/>
      <w:tblLook w:val="0400" w:firstRow="0" w:lastRow="0" w:firstColumn="0" w:lastColumn="0" w:noHBand="0" w:noVBand="1"/>
    </w:tblPr>
    <w:tblGrid>
      <w:gridCol w:w="1911"/>
      <w:gridCol w:w="3902"/>
      <w:gridCol w:w="2835"/>
      <w:gridCol w:w="1134"/>
    </w:tblGrid>
    <w:tr w:rsidR="00486179" w14:paraId="067EB192" w14:textId="77777777">
      <w:trPr>
        <w:trHeight w:val="1283"/>
        <w:jc w:val="center"/>
      </w:trPr>
      <w:tc>
        <w:tcPr>
          <w:tcW w:w="1911" w:type="dxa"/>
          <w:vAlign w:val="center"/>
        </w:tcPr>
        <w:p w14:paraId="63A1199D" w14:textId="77777777" w:rsidR="004B1127" w:rsidRDefault="004B1127">
          <w:pPr>
            <w:pBdr>
              <w:top w:val="nil"/>
              <w:left w:val="nil"/>
              <w:bottom w:val="nil"/>
              <w:right w:val="nil"/>
              <w:between w:val="nil"/>
            </w:pBdr>
            <w:jc w:val="center"/>
            <w:rPr>
              <w:color w:val="000000"/>
              <w:sz w:val="12"/>
              <w:szCs w:val="12"/>
            </w:rPr>
          </w:pPr>
        </w:p>
      </w:tc>
      <w:tc>
        <w:tcPr>
          <w:tcW w:w="3902" w:type="dxa"/>
          <w:vAlign w:val="center"/>
        </w:tcPr>
        <w:p w14:paraId="366090B3" w14:textId="77777777" w:rsidR="004B1127" w:rsidRDefault="004B1127">
          <w:pPr>
            <w:pBdr>
              <w:top w:val="nil"/>
              <w:left w:val="nil"/>
              <w:bottom w:val="nil"/>
              <w:right w:val="nil"/>
              <w:between w:val="nil"/>
            </w:pBdr>
            <w:rPr>
              <w:b/>
              <w:color w:val="000000"/>
            </w:rPr>
          </w:pPr>
        </w:p>
      </w:tc>
      <w:tc>
        <w:tcPr>
          <w:tcW w:w="2835" w:type="dxa"/>
          <w:vAlign w:val="center"/>
        </w:tcPr>
        <w:p w14:paraId="319BF5C0" w14:textId="77777777" w:rsidR="004B1127" w:rsidRDefault="004B1127">
          <w:pPr>
            <w:pBdr>
              <w:top w:val="nil"/>
              <w:left w:val="nil"/>
              <w:bottom w:val="nil"/>
              <w:right w:val="nil"/>
              <w:between w:val="nil"/>
            </w:pBdr>
            <w:tabs>
              <w:tab w:val="center" w:pos="4153"/>
              <w:tab w:val="right" w:pos="8306"/>
              <w:tab w:val="center" w:pos="5386"/>
              <w:tab w:val="right" w:pos="10772"/>
            </w:tabs>
            <w:jc w:val="center"/>
            <w:rPr>
              <w:b/>
              <w:color w:val="000000"/>
            </w:rPr>
          </w:pPr>
        </w:p>
      </w:tc>
      <w:tc>
        <w:tcPr>
          <w:tcW w:w="1134" w:type="dxa"/>
          <w:vAlign w:val="center"/>
        </w:tcPr>
        <w:p w14:paraId="472F8E9B" w14:textId="77777777" w:rsidR="004B1127" w:rsidRDefault="004B1127">
          <w:pPr>
            <w:pBdr>
              <w:top w:val="nil"/>
              <w:left w:val="nil"/>
              <w:bottom w:val="nil"/>
              <w:right w:val="nil"/>
              <w:between w:val="nil"/>
            </w:pBdr>
            <w:tabs>
              <w:tab w:val="center" w:pos="4153"/>
              <w:tab w:val="right" w:pos="8306"/>
              <w:tab w:val="center" w:pos="720"/>
            </w:tabs>
            <w:rPr>
              <w:b/>
              <w:color w:val="000000"/>
            </w:rPr>
          </w:pPr>
        </w:p>
      </w:tc>
    </w:tr>
  </w:tbl>
  <w:p w14:paraId="456ED8AC" w14:textId="77777777" w:rsidR="004B1127" w:rsidRDefault="004B1127">
    <w:pPr>
      <w:pBdr>
        <w:top w:val="nil"/>
        <w:left w:val="nil"/>
        <w:bottom w:val="nil"/>
        <w:right w:val="nil"/>
        <w:between w:val="nil"/>
      </w:pBdr>
      <w:tabs>
        <w:tab w:val="center" w:pos="4153"/>
        <w:tab w:val="right" w:pos="8306"/>
        <w:tab w:val="center" w:pos="5386"/>
        <w:tab w:val="right" w:pos="10772"/>
      </w:tabs>
      <w:rPr>
        <w:b/>
        <w:color w:val="BFBF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25E3" w14:textId="77777777" w:rsidR="00015F88" w:rsidRDefault="00015F88" w:rsidP="00015F88">
      <w:pPr>
        <w:spacing w:after="0" w:line="240" w:lineRule="auto"/>
      </w:pPr>
      <w:r>
        <w:separator/>
      </w:r>
    </w:p>
  </w:footnote>
  <w:footnote w:type="continuationSeparator" w:id="0">
    <w:p w14:paraId="3769426B" w14:textId="77777777" w:rsidR="00015F88" w:rsidRDefault="00015F88" w:rsidP="00015F88">
      <w:pPr>
        <w:spacing w:after="0" w:line="240" w:lineRule="auto"/>
      </w:pPr>
      <w:r>
        <w:continuationSeparator/>
      </w:r>
    </w:p>
  </w:footnote>
  <w:footnote w:id="1">
    <w:p w14:paraId="2C8E5A94" w14:textId="77777777" w:rsidR="003B447C" w:rsidRPr="007D6C68" w:rsidRDefault="003B447C" w:rsidP="003B447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C35A4C6" w14:textId="77777777" w:rsidR="003B447C" w:rsidRPr="00F8134F" w:rsidRDefault="003B447C" w:rsidP="003B447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C25CB40" w14:textId="77777777" w:rsidR="00015F88" w:rsidRPr="00626443" w:rsidRDefault="00015F88" w:rsidP="00015F88">
      <w:pPr>
        <w:pStyle w:val="FootnoteText"/>
        <w:rPr>
          <w:rFonts w:ascii="Calibri Light" w:hAnsi="Calibri Light" w:cs="Calibri Light"/>
          <w:lang w:val="en-US"/>
        </w:rPr>
      </w:pPr>
      <w:r w:rsidRPr="00626443">
        <w:rPr>
          <w:rStyle w:val="FootnoteReference"/>
          <w:rFonts w:ascii="Calibri Light" w:hAnsi="Calibri Light" w:cs="Calibri Light"/>
        </w:rPr>
        <w:footnoteRef/>
      </w:r>
      <w:r w:rsidRPr="00626443">
        <w:rPr>
          <w:rFonts w:ascii="Calibri Light" w:hAnsi="Calibri Light" w:cs="Calibri Light"/>
        </w:rPr>
        <w:t xml:space="preserve"> </w:t>
      </w:r>
      <w:hyperlink r:id="rId1" w:history="1">
        <w:r w:rsidRPr="00626443">
          <w:rPr>
            <w:rStyle w:val="Hyperlink"/>
            <w:rFonts w:ascii="Calibri Light" w:hAnsi="Calibri Light" w:cs="Calibri Light"/>
          </w:rPr>
          <w:t>http://data.parliament.uk/DepositedPapers/Files/DEP2021-0835/005_Advances_-_New_claim_V15-0.pdf</w:t>
        </w:r>
      </w:hyperlink>
      <w:r w:rsidRPr="00626443">
        <w:rPr>
          <w:rFonts w:ascii="Calibri Light" w:hAnsi="Calibri Light" w:cs="Calibri Light"/>
        </w:rPr>
        <w:t xml:space="preserve"> </w:t>
      </w:r>
    </w:p>
  </w:footnote>
  <w:footnote w:id="4">
    <w:p w14:paraId="30F341EC" w14:textId="77777777" w:rsidR="00015F88" w:rsidRDefault="00015F88" w:rsidP="00015F88">
      <w:pPr>
        <w:pStyle w:val="FootnoteText"/>
      </w:pPr>
      <w:r w:rsidRPr="00626443">
        <w:rPr>
          <w:rStyle w:val="FootnoteReference"/>
          <w:rFonts w:ascii="Calibri Light" w:hAnsi="Calibri Light" w:cs="Calibri Light"/>
        </w:rPr>
        <w:footnoteRef/>
      </w:r>
      <w:r w:rsidRPr="00626443">
        <w:rPr>
          <w:rFonts w:ascii="Calibri Light" w:hAnsi="Calibri Light" w:cs="Calibri Light"/>
        </w:rPr>
        <w:t xml:space="preserve"> </w:t>
      </w:r>
      <w:hyperlink r:id="rId2" w:anchor="how-much-can-be-taken-from-universal-credit-payments" w:history="1">
        <w:r w:rsidRPr="00626443">
          <w:rPr>
            <w:rStyle w:val="Hyperlink"/>
            <w:rFonts w:ascii="Calibri Light" w:eastAsia="Calibri" w:hAnsi="Calibri Light" w:cs="Calibri Light"/>
          </w:rPr>
          <w:t>https://www.gov.uk/guidance/universal-credit-debt-and-deductions-that-can-be-taken-from-payments#how-much-can-be-taken-from-universal-credit-payments</w:t>
        </w:r>
      </w:hyperlink>
    </w:p>
  </w:footnote>
  <w:footnote w:id="5">
    <w:p w14:paraId="7F34D53F" w14:textId="77777777" w:rsidR="00015F88" w:rsidRPr="002C43B7" w:rsidRDefault="00015F88" w:rsidP="00015F88">
      <w:pPr>
        <w:pStyle w:val="FootnoteText"/>
        <w:rPr>
          <w:rFonts w:ascii="Calibri Light" w:hAnsi="Calibri Light" w:cs="Calibri Light"/>
        </w:rPr>
      </w:pPr>
      <w:r>
        <w:rPr>
          <w:rStyle w:val="FootnoteReference"/>
        </w:rPr>
        <w:footnoteRef/>
      </w:r>
      <w:r>
        <w:t xml:space="preserve"> </w:t>
      </w:r>
      <w:r w:rsidRPr="002C43B7">
        <w:rPr>
          <w:rFonts w:ascii="Calibri Light" w:hAnsi="Calibri Light" w:cs="Calibri Light"/>
        </w:rPr>
        <w:t>DWP Touchbase 5th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0384" w14:textId="77777777" w:rsidR="004B1127" w:rsidRDefault="004B1127">
    <w:pPr>
      <w:widowControl w:val="0"/>
      <w:pBdr>
        <w:top w:val="nil"/>
        <w:left w:val="nil"/>
        <w:bottom w:val="nil"/>
        <w:right w:val="nil"/>
        <w:between w:val="nil"/>
      </w:pBdr>
      <w:spacing w:after="0"/>
    </w:pPr>
  </w:p>
  <w:tbl>
    <w:tblPr>
      <w:tblW w:w="8428" w:type="dxa"/>
      <w:jc w:val="center"/>
      <w:tblBorders>
        <w:top w:val="nil"/>
        <w:left w:val="nil"/>
        <w:bottom w:val="nil"/>
        <w:right w:val="nil"/>
        <w:insideH w:val="nil"/>
        <w:insideV w:val="nil"/>
      </w:tblBorders>
      <w:tblLayout w:type="fixed"/>
      <w:tblLook w:val="0400" w:firstRow="0" w:lastRow="0" w:firstColumn="0" w:lastColumn="0" w:noHBand="0" w:noVBand="1"/>
    </w:tblPr>
    <w:tblGrid>
      <w:gridCol w:w="3867"/>
      <w:gridCol w:w="4561"/>
    </w:tblGrid>
    <w:tr w:rsidR="00486179" w14:paraId="5AE5EF7E" w14:textId="77777777">
      <w:trPr>
        <w:jc w:val="center"/>
      </w:trPr>
      <w:tc>
        <w:tcPr>
          <w:tcW w:w="3867" w:type="dxa"/>
        </w:tcPr>
        <w:p w14:paraId="6273B485" w14:textId="77777777" w:rsidR="004B1127" w:rsidRDefault="004B1127">
          <w:pPr>
            <w:pBdr>
              <w:top w:val="nil"/>
              <w:left w:val="nil"/>
              <w:bottom w:val="nil"/>
              <w:right w:val="nil"/>
              <w:between w:val="nil"/>
            </w:pBdr>
            <w:tabs>
              <w:tab w:val="center" w:pos="4153"/>
              <w:tab w:val="right" w:pos="8306"/>
            </w:tabs>
            <w:rPr>
              <w:color w:val="31539F"/>
              <w:sz w:val="24"/>
              <w:szCs w:val="24"/>
            </w:rPr>
          </w:pPr>
        </w:p>
      </w:tc>
      <w:tc>
        <w:tcPr>
          <w:tcW w:w="4561" w:type="dxa"/>
          <w:vAlign w:val="center"/>
        </w:tcPr>
        <w:p w14:paraId="0BE13CCB" w14:textId="77777777" w:rsidR="004B1127" w:rsidRDefault="004B1127">
          <w:pPr>
            <w:pBdr>
              <w:top w:val="nil"/>
              <w:left w:val="nil"/>
              <w:bottom w:val="nil"/>
              <w:right w:val="nil"/>
              <w:between w:val="nil"/>
            </w:pBdr>
            <w:tabs>
              <w:tab w:val="center" w:pos="4153"/>
              <w:tab w:val="right" w:pos="8306"/>
            </w:tabs>
            <w:jc w:val="center"/>
            <w:rPr>
              <w:b/>
              <w:color w:val="31539F"/>
              <w:sz w:val="24"/>
              <w:szCs w:val="24"/>
            </w:rPr>
          </w:pPr>
        </w:p>
      </w:tc>
    </w:tr>
  </w:tbl>
  <w:p w14:paraId="42219402" w14:textId="77777777" w:rsidR="004B1127" w:rsidRDefault="004B1127">
    <w:pPr>
      <w:pBdr>
        <w:top w:val="nil"/>
        <w:left w:val="nil"/>
        <w:bottom w:val="nil"/>
        <w:right w:val="nil"/>
        <w:between w:val="nil"/>
      </w:pBdr>
      <w:spacing w:after="0" w:line="240" w:lineRule="auto"/>
      <w:jc w:val="center"/>
    </w:pPr>
  </w:p>
  <w:p w14:paraId="1D37E566" w14:textId="77777777" w:rsidR="004B1127" w:rsidRDefault="004B1127">
    <w:pPr>
      <w:pBdr>
        <w:top w:val="nil"/>
        <w:left w:val="nil"/>
        <w:bottom w:val="nil"/>
        <w:right w:val="nil"/>
        <w:between w:val="nil"/>
      </w:pBd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406B"/>
    <w:multiLevelType w:val="hybridMultilevel"/>
    <w:tmpl w:val="35A67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900EB"/>
    <w:multiLevelType w:val="hybridMultilevel"/>
    <w:tmpl w:val="ECC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E163C"/>
    <w:multiLevelType w:val="hybridMultilevel"/>
    <w:tmpl w:val="8E34C576"/>
    <w:lvl w:ilvl="0" w:tplc="C2A6CD38">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966259"/>
    <w:multiLevelType w:val="hybridMultilevel"/>
    <w:tmpl w:val="645808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F1F4BB0"/>
    <w:multiLevelType w:val="hybridMultilevel"/>
    <w:tmpl w:val="610A3F2A"/>
    <w:lvl w:ilvl="0" w:tplc="806EA0D8">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DD0AE7"/>
    <w:multiLevelType w:val="hybridMultilevel"/>
    <w:tmpl w:val="D31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536663">
    <w:abstractNumId w:val="4"/>
  </w:num>
  <w:num w:numId="2" w16cid:durableId="1934823704">
    <w:abstractNumId w:val="1"/>
  </w:num>
  <w:num w:numId="3" w16cid:durableId="185756180">
    <w:abstractNumId w:val="3"/>
  </w:num>
  <w:num w:numId="4" w16cid:durableId="1629437159">
    <w:abstractNumId w:val="5"/>
  </w:num>
  <w:num w:numId="5" w16cid:durableId="208034404">
    <w:abstractNumId w:val="2"/>
  </w:num>
  <w:num w:numId="6" w16cid:durableId="99287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88"/>
    <w:rsid w:val="00015F88"/>
    <w:rsid w:val="002209CA"/>
    <w:rsid w:val="003B447C"/>
    <w:rsid w:val="004615C8"/>
    <w:rsid w:val="00A64A18"/>
    <w:rsid w:val="00C14910"/>
    <w:rsid w:val="00E61C83"/>
    <w:rsid w:val="00FB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F6B26"/>
  <w15:chartTrackingRefBased/>
  <w15:docId w15:val="{139A8F32-CCD9-4072-A234-E2DB9319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5F88"/>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88"/>
    <w:pPr>
      <w:ind w:left="720"/>
      <w:contextualSpacing/>
    </w:pPr>
  </w:style>
  <w:style w:type="paragraph" w:styleId="NormalWeb">
    <w:name w:val="Normal (Web)"/>
    <w:basedOn w:val="Normal"/>
    <w:uiPriority w:val="99"/>
    <w:rsid w:val="00015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15F88"/>
    <w:rPr>
      <w:color w:val="0000FF"/>
      <w:u w:val="single"/>
    </w:rPr>
  </w:style>
  <w:style w:type="paragraph" w:styleId="FootnoteText">
    <w:name w:val="footnote text"/>
    <w:basedOn w:val="Normal"/>
    <w:link w:val="FootnoteTextChar"/>
    <w:unhideWhenUsed/>
    <w:rsid w:val="00015F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5F88"/>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015F88"/>
    <w:rPr>
      <w:vertAlign w:val="superscript"/>
    </w:rPr>
  </w:style>
  <w:style w:type="paragraph" w:customStyle="1" w:styleId="legclearfix">
    <w:name w:val="legclearfix"/>
    <w:basedOn w:val="Normal"/>
    <w:rsid w:val="0001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015F88"/>
  </w:style>
  <w:style w:type="character" w:styleId="CommentReference">
    <w:name w:val="annotation reference"/>
    <w:basedOn w:val="DefaultParagraphFont"/>
    <w:uiPriority w:val="99"/>
    <w:semiHidden/>
    <w:unhideWhenUsed/>
    <w:rsid w:val="00015F88"/>
    <w:rPr>
      <w:sz w:val="16"/>
      <w:szCs w:val="16"/>
    </w:rPr>
  </w:style>
  <w:style w:type="paragraph" w:styleId="CommentText">
    <w:name w:val="annotation text"/>
    <w:basedOn w:val="Normal"/>
    <w:link w:val="CommentTextChar"/>
    <w:uiPriority w:val="99"/>
    <w:semiHidden/>
    <w:unhideWhenUsed/>
    <w:rsid w:val="00015F88"/>
    <w:pPr>
      <w:spacing w:line="240" w:lineRule="auto"/>
    </w:pPr>
    <w:rPr>
      <w:sz w:val="20"/>
      <w:szCs w:val="20"/>
    </w:rPr>
  </w:style>
  <w:style w:type="character" w:customStyle="1" w:styleId="CommentTextChar">
    <w:name w:val="Comment Text Char"/>
    <w:basedOn w:val="DefaultParagraphFont"/>
    <w:link w:val="CommentText"/>
    <w:uiPriority w:val="99"/>
    <w:semiHidden/>
    <w:rsid w:val="00015F88"/>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015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88"/>
    <w:rPr>
      <w:rFonts w:ascii="Segoe UI" w:eastAsia="Calibri" w:hAnsi="Segoe UI" w:cs="Segoe UI"/>
      <w:sz w:val="18"/>
      <w:szCs w:val="18"/>
      <w:lang w:eastAsia="en-GB"/>
    </w:rPr>
  </w:style>
  <w:style w:type="paragraph" w:styleId="Header">
    <w:name w:val="header"/>
    <w:basedOn w:val="Normal"/>
    <w:link w:val="HeaderChar"/>
    <w:uiPriority w:val="99"/>
    <w:unhideWhenUsed/>
    <w:rsid w:val="0001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88"/>
    <w:rPr>
      <w:rFonts w:ascii="Calibri" w:eastAsia="Calibri" w:hAnsi="Calibri" w:cs="Calibri"/>
      <w:lang w:eastAsia="en-GB"/>
    </w:rPr>
  </w:style>
  <w:style w:type="paragraph" w:styleId="Footer">
    <w:name w:val="footer"/>
    <w:basedOn w:val="Normal"/>
    <w:link w:val="FooterChar"/>
    <w:uiPriority w:val="99"/>
    <w:unhideWhenUsed/>
    <w:rsid w:val="0001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88"/>
    <w:rPr>
      <w:rFonts w:ascii="Calibri" w:eastAsia="Calibri" w:hAnsi="Calibri" w:cs="Calibri"/>
      <w:lang w:eastAsia="en-GB"/>
    </w:rPr>
  </w:style>
  <w:style w:type="character" w:styleId="Strong">
    <w:name w:val="Strong"/>
    <w:uiPriority w:val="22"/>
    <w:qFormat/>
    <w:rsid w:val="004615C8"/>
    <w:rPr>
      <w:b/>
      <w:bCs/>
    </w:rPr>
  </w:style>
  <w:style w:type="character" w:customStyle="1" w:styleId="sectionitemno">
    <w:name w:val="sectionitemno"/>
    <w:basedOn w:val="DefaultParagraphFont"/>
    <w:rsid w:val="003B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universal-credit-debt-and-deductions-that-can-be-taken-from-payments" TargetMode="External"/><Relationship Id="rId1" Type="http://schemas.openxmlformats.org/officeDocument/2006/relationships/hyperlink" Target="http://data.parliament.uk/DepositedPapers/Files/DEP2021-0835/005_Advances_-_New_claim_V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4EEC6-5C32-4D5A-9F8E-C17A4AF2A704}">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487C9386-FE5A-4737-A684-F60D48E6A566}">
  <ds:schemaRefs>
    <ds:schemaRef ds:uri="http://schemas.microsoft.com/sharepoint/v3/contenttype/forms"/>
  </ds:schemaRefs>
</ds:datastoreItem>
</file>

<file path=customXml/itemProps3.xml><?xml version="1.0" encoding="utf-8"?>
<ds:datastoreItem xmlns:ds="http://schemas.openxmlformats.org/officeDocument/2006/customXml" ds:itemID="{EE8F7598-C406-4E12-8A89-DFBC61DBFD60}">
  <ds:schemaRefs>
    <ds:schemaRef ds:uri="http://schemas.openxmlformats.org/officeDocument/2006/bibliography"/>
  </ds:schemaRefs>
</ds:datastoreItem>
</file>

<file path=customXml/itemProps4.xml><?xml version="1.0" encoding="utf-8"?>
<ds:datastoreItem xmlns:ds="http://schemas.openxmlformats.org/officeDocument/2006/customXml" ds:itemID="{F5DCFFDE-F5DA-4F26-9DD2-77687118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2024-02-28T13:16:00Z</dcterms:created>
  <dcterms:modified xsi:type="dcterms:W3CDTF">2024-02-28T13:16:00Z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5559800</vt:r8>
  </property>
</Properties>
</file>